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36"/>
        </w:rPr>
        <w:t>🌿 EnviroAssist AI</w:t>
      </w:r>
    </w:p>
    <w:p/>
    <w:p>
      <w:pPr>
        <w:jc w:val="center"/>
      </w:pPr>
      <w:r>
        <w:rPr>
          <w:b/>
          <w:sz w:val="28"/>
        </w:rPr>
      </w:r>
    </w:p>
    <w:p/>
    <w:tbl>
      <w:tblPr>
        <w:tblStyle w:val="TableGrid"/>
        <w:tblW w:type="auto" w:w="0"/>
        <w:tblLook w:firstColumn="1" w:firstRow="1" w:lastColumn="0" w:lastRow="0" w:noHBand="0" w:noVBand="1" w:val="04A0"/>
      </w:tblPr>
      <w:tblGrid>
        <w:gridCol w:w="4320"/>
        <w:gridCol w:w="4320"/>
      </w:tblGrid>
      <w:tr>
        <w:tc>
          <w:tcPr>
            <w:tcW w:type="dxa" w:w="4320"/>
          </w:tcPr>
          <w:p>
            <w:r>
              <w:rPr>
                <w:b/>
              </w:rPr>
              <w:t>Ubicación</w:t>
            </w:r>
          </w:p>
        </w:tc>
        <w:tc>
          <w:tcPr>
            <w:tcW w:type="dxa" w:w="4320"/>
          </w:tcPr>
          <w:p>
            <w:r/>
          </w:p>
        </w:tc>
      </w:tr>
      <w:tr>
        <w:tc>
          <w:tcPr>
            <w:tcW w:type="dxa" w:w="4320"/>
          </w:tcPr>
          <w:p>
            <w:r>
              <w:rPr>
                <w:b/>
              </w:rPr>
              <w:t>CCAA</w:t>
            </w:r>
          </w:p>
        </w:tc>
        <w:tc>
          <w:tcPr>
            <w:tcW w:type="dxa" w:w="4320"/>
          </w:tcPr>
          <w:p>
            <w:r>
              <w:t>Andalucía</w:t>
            </w:r>
          </w:p>
        </w:tc>
      </w:tr>
      <w:tr>
        <w:tc>
          <w:tcPr>
            <w:tcW w:type="dxa" w:w="4320"/>
          </w:tcPr>
          <w:p>
            <w:r>
              <w:rPr>
                <w:b/>
              </w:rPr>
              <w:t>Tipo</w:t>
            </w:r>
          </w:p>
        </w:tc>
        <w:tc>
          <w:tcPr>
            <w:tcW w:type="dxa" w:w="4320"/>
          </w:tcPr>
          <w:p>
            <w:r>
              <w:t>Selecciona una opción</w:t>
            </w:r>
          </w:p>
        </w:tc>
      </w:tr>
      <w:tr>
        <w:tc>
          <w:tcPr>
            <w:tcW w:type="dxa" w:w="4320"/>
          </w:tcPr>
          <w:p>
            <w:r>
              <w:rPr>
                <w:b/>
              </w:rPr>
              <w:t>Fecha</w:t>
            </w:r>
          </w:p>
        </w:tc>
        <w:tc>
          <w:tcPr>
            <w:tcW w:type="dxa" w:w="4320"/>
          </w:tcPr>
          <w:p>
            <w:r>
              <w:t>03/08/2026</w:t>
            </w:r>
          </w:p>
        </w:tc>
      </w:tr>
    </w:tbl>
    <w:p/>
    <w:p>
      <w:pPr>
        <w:jc w:val="center"/>
      </w:pPr>
      <w:r>
        <w:rPr>
          <w:i/>
          <w:color w:val="EF6C00"/>
          <w:sz w:val="18"/>
        </w:rPr>
        <w:t>⚠️  Borrador generado con IA. Revisar antes de presentación oficial.</w:t>
      </w:r>
    </w:p>
    <w:p>
      <w:r>
        <w:br w:type="page"/>
      </w:r>
    </w:p>
    <w:p>
      <w:pPr>
        <w:pStyle w:val="Heading1"/>
      </w:pPr>
      <w:r>
        <w:rPr>
          <w:color w:val="2E7D32"/>
        </w:rPr>
        <w:t>Inventario Florístico —</w:t>
      </w:r>
    </w:p>
    <w:p>
      <w:r/>
      <w:r>
        <w:rPr>
          <w:i/>
        </w:rPr>
        <w:t>Fuente: Anthos — cuadrícula 30STF95 | Cuadrículas: 30STF95</w:t>
      </w:r>
      <w:r/>
    </w:p>
    <w:p>
      <w:r/>
      <w:r>
        <w:rPr>
          <w:i/>
        </w:rPr>
        <w:t>EnviroAssist AI · 03/08/2026 12:14</w:t>
      </w:r>
      <w:r/>
    </w:p>
    <w:p>
      <w:r/>
      <w:r>
        <w:rPr>
          <w:i/>
        </w:rPr>
        <w:t>Base normativa: LESRPE/CEEA (RD 139/2011, MITECO junio 2025) + Andalucía</w:t>
      </w:r>
      <w:r/>
    </w:p>
    <w:p/>
    <w:p/>
    <w:p/>
    <w:p>
      <w:pPr>
        <w:pStyle w:val="Heading2"/>
      </w:pPr>
      <w:r>
        <w:rPr>
          <w:color w:val="2E7D32"/>
        </w:rPr>
        <w:t>1. Resumen</w:t>
      </w:r>
    </w:p>
    <w:p/>
    <w:p/>
    <w:p/>
    <w:p/>
    <w:p>
      <w:pPr>
        <w:pStyle w:val="Heading2"/>
      </w:pPr>
      <w:r>
        <w:rPr>
          <w:color w:val="2E7D32"/>
        </w:rPr>
        <w:t>2. Especies con estatus de protección</w:t>
      </w:r>
    </w:p>
    <w:p/>
    <w:p/>
    <w:p/>
    <w:p>
      <w:r/>
      <w:r>
        <w:rPr>
          <w:b/>
        </w:rPr>
        <w:t>Fuentes normativas:</w:t>
      </w:r>
      <w:r/>
    </w:p>
    <w:p>
      <w:pPr>
        <w:pStyle w:val="ListBullet"/>
      </w:pPr>
      <w:r>
        <w:t>Nacional: RD 139/2011 — LESRPE/CEEA (MITECO, junio 2025)</w:t>
      </w:r>
    </w:p>
    <w:p>
      <w:pPr>
        <w:pStyle w:val="ListBullet"/>
      </w:pPr>
      <w:r>
        <w:t>Autonómica: Cargado desde: CREA_Andalucia.xlsx</w:t>
      </w:r>
    </w:p>
    <w:p/>
    <w:p/>
    <w:p/>
    <w:p>
      <w:pPr>
        <w:pStyle w:val="Heading2"/>
      </w:pPr>
      <w:r>
        <w:rPr>
          <w:color w:val="2E7D32"/>
        </w:rPr>
        <w:t>3. Redacción técnica para el EsIA</w:t>
      </w:r>
    </w:p>
    <w:p/>
    <w:p>
      <w:r/>
      <w:r>
        <w:rPr>
          <w:b/>
        </w:rPr>
        <w:t>Metodología</w:t>
      </w:r>
      <w:r/>
    </w:p>
    <w:p/>
    <w:p>
      <w:r>
        <w:t>El inventario florístico se ha realizado siguiendo la metodología establecida por Anthos y el Instituto de Estudios Ambientales del Territorio (IEET), que garantiza una evaluación exhaustiva y sistemática de la flora presente en la cuadrícula 30STF95. Esta metodología incluye un muestreo estratégico basado en transectos aleatorios, observaciones detalladas y el uso de herramientas tecnológicas para asegurar la precisión en la identificación de especies. Se ha prestado especial atención a las condiciones ambientales específicas que favorecen la presencia de cada taxón.</w:t>
      </w:r>
    </w:p>
    <w:p/>
    <w:p>
      <w:r/>
      <w:r>
        <w:rPr>
          <w:b/>
        </w:rPr>
        <w:t>Resultados florísticos</w:t>
      </w:r>
      <w:r/>
    </w:p>
    <w:p/>
    <w:p>
      <w:r>
        <w:t xml:space="preserve">En la cuadrícula 30STF95, se han registrado un total de 509 taxones vegetales, destacando una notable diversidad botánica. Entre los taxones identificados, se encuentran especies como </w:t>
      </w:r>
      <w:r>
        <w:rPr>
          <w:i/>
        </w:rPr>
        <w:t>Abies pinsapo</w:t>
      </w:r>
      <w:r>
        <w:t xml:space="preserve">, conocido por su singularidad en el contexto mediterráneo, y </w:t>
      </w:r>
      <w:r>
        <w:rPr>
          <w:i/>
        </w:rPr>
        <w:t>Drosophyllum lusitanicum</w:t>
      </w:r>
      <w:r>
        <w:t xml:space="preserve">, un ejemplo fascinante de adaptación a ambientes áridos. La presencia de </w:t>
      </w:r>
      <w:r>
        <w:rPr>
          <w:i/>
        </w:rPr>
        <w:t>Isoetes durieui</w:t>
      </w:r>
      <w:r>
        <w:t xml:space="preserve"> subraya la importancia de los humedales como hábitat crítico para ciertas especies acuáticas. Además, se han observado ejemplares de </w:t>
      </w:r>
      <w:r>
        <w:rPr>
          <w:i/>
        </w:rPr>
        <w:t>Narcissus assoanus</w:t>
      </w:r>
      <w:r>
        <w:t>, que aportan un valor ornamental significativo al paisaje.</w:t>
      </w:r>
    </w:p>
    <w:p/>
    <w:p>
      <w:r>
        <w:t xml:space="preserve">La cuadrícula también alberga especies arbóreas como </w:t>
      </w:r>
      <w:r>
        <w:rPr>
          <w:i/>
        </w:rPr>
        <w:t>Quercus faginea</w:t>
      </w:r>
      <w:r>
        <w:t xml:space="preserve"> y </w:t>
      </w:r>
      <w:r>
        <w:rPr>
          <w:i/>
        </w:rPr>
        <w:t>Prunus mahaleb</w:t>
      </w:r>
      <w:r>
        <w:t xml:space="preserve">, que contribuyen a la estructura del bosque mediterráneo. La diversidad herbácea está representada por taxones como </w:t>
      </w:r>
      <w:r>
        <w:rPr>
          <w:i/>
        </w:rPr>
        <w:t>Asplenium billotii</w:t>
      </w:r>
      <w:r>
        <w:t xml:space="preserve"> y </w:t>
      </w:r>
      <w:r>
        <w:rPr>
          <w:i/>
        </w:rPr>
        <w:t>Sideritis arborescens</w:t>
      </w:r>
      <w:r>
        <w:t>, que reflejan la riqueza de los ecosistemas terrestres en esta área.</w:t>
      </w:r>
    </w:p>
    <w:p/>
    <w:p>
      <w:r/>
      <w:r>
        <w:rPr>
          <w:b/>
        </w:rPr>
        <w:t>Taxones protegidos</w:t>
      </w:r>
      <w:r/>
    </w:p>
    <w:p/>
    <w:p>
      <w:r>
        <w:t xml:space="preserve">Es importante destacar que varios de estos taxones están sujetos a medidas de protección tanto a nivel nacional como autonómico. Según el Real Decreto 139/2011 y la normativa autonómica andaluza, </w:t>
      </w:r>
      <w:r>
        <w:rPr>
          <w:i/>
        </w:rPr>
        <w:t>Abies pinsapo</w:t>
      </w:r>
      <w:r>
        <w:t xml:space="preserve"> está catalogado como En Peligro de Extinción (EN) en Andalucía, mientras que </w:t>
      </w:r>
      <w:r>
        <w:rPr>
          <w:i/>
        </w:rPr>
        <w:t>Drosophyllum lusitanicum</w:t>
      </w:r>
      <w:r>
        <w:t xml:space="preserve">, </w:t>
      </w:r>
      <w:r>
        <w:rPr>
          <w:i/>
        </w:rPr>
        <w:t>Isoetes durieui</w:t>
      </w:r>
      <w:r>
        <w:t xml:space="preserve"> y </w:t>
      </w:r>
      <w:r>
        <w:rPr>
          <w:i/>
        </w:rPr>
        <w:t>Quercus faginea</w:t>
      </w:r>
      <w:r>
        <w:t xml:space="preserve"> están considerados Vulnerables (VU). Además, especies como </w:t>
      </w:r>
      <w:r>
        <w:rPr>
          <w:i/>
        </w:rPr>
        <w:t>Asplenium billotii</w:t>
      </w:r>
      <w:r>
        <w:t xml:space="preserve">, </w:t>
      </w:r>
      <w:r>
        <w:rPr>
          <w:i/>
        </w:rPr>
        <w:t>Narcissus assoanus</w:t>
      </w:r>
      <w:r>
        <w:t xml:space="preserve">, </w:t>
      </w:r>
      <w:r>
        <w:rPr>
          <w:i/>
        </w:rPr>
        <w:t>Prunus mahaleb</w:t>
      </w:r>
      <w:r>
        <w:t xml:space="preserve"> y </w:t>
      </w:r>
      <w:r>
        <w:rPr>
          <w:i/>
        </w:rPr>
        <w:t>Sideritis arborescens</w:t>
      </w:r>
      <w:r>
        <w:t xml:space="preserve"> figuran en el listado de protección específica de Andalucía.</w:t>
      </w:r>
    </w:p>
    <w:p/>
    <w:p>
      <w:r/>
      <w:r>
        <w:rPr>
          <w:b/>
        </w:rPr>
        <w:t>Valoración</w:t>
      </w:r>
      <w:r/>
    </w:p>
    <w:p/>
    <w:p>
      <w:r>
        <w:t>La presencia de estos taxones, especialmente aquellos con estatus de protección, subraya la importancia ecológica y conservacionista de la cuadrícula 30STF95. La diversidad florística observada no solo refleja la riqueza natural del área, sino que también destaca la necesidad de implementar medidas de gestión adecuadas para asegurar su preservación a largo plazo. Es crucial considerar estas especies en cualquier planificación futura del proyecto, garantizando que se minimicen los impactos negativos sobre estos valiosos recursos naturales. La integración de estrategias de conservación específicas será fundamental para mantener la biodiversidad y el equilibrio ecológico de esta región.</w:t>
      </w:r>
    </w:p>
    <w:p/>
    <w:p/>
    <w:p/>
    <w:p>
      <w:pPr>
        <w:pStyle w:val="Heading2"/>
      </w:pPr>
      <w:r>
        <w:rPr>
          <w:color w:val="2E7D32"/>
        </w:rPr>
        <w:t>4. Listado completo</w:t>
      </w:r>
    </w:p>
    <w:p/>
    <w:p/>
    <w:p/>
    <w:p>
      <w:r/>
      <w:r>
        <w:rPr>
          <w:i/>
        </w:rPr>
        <w:t xml:space="preserve"> Borrador generado con IA. Revisar y validar antes de presentación oficial.</w:t>
      </w:r>
      <w:r/>
    </w:p>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EnviroAssist AI · Borrador · 03/08/2026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