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D32"/>
          <w:sz w:val="36"/>
        </w:rPr>
        <w:t>🌿 EnviroAssist AI</w:t>
      </w:r>
    </w:p>
    <w:p/>
    <w:p>
      <w:pPr>
        <w:jc w:val="center"/>
      </w:pPr>
      <w:r>
        <w:rPr>
          <w:b/>
          <w:sz w:val="28"/>
        </w:rPr>
        <w:t>Planta solar El Álamo</w:t>
      </w:r>
    </w:p>
    <w:p/>
    <w:tbl>
      <w:tblPr>
        <w:tblStyle w:val="TableGrid"/>
        <w:tblW w:type="auto" w:w="0"/>
        <w:tblLook w:firstColumn="1" w:firstRow="1" w:lastColumn="0" w:lastRow="0" w:noHBand="0" w:noVBand="1" w:val="04A0"/>
      </w:tblPr>
      <w:tblGrid>
        <w:gridCol w:w="4320"/>
        <w:gridCol w:w="4320"/>
      </w:tblGrid>
      <w:tr>
        <w:tc>
          <w:tcPr>
            <w:tcW w:type="dxa" w:w="4320"/>
          </w:tcPr>
          <w:p>
            <w:r>
              <w:rPr>
                <w:b/>
              </w:rPr>
              <w:t>Ubicación</w:t>
            </w:r>
          </w:p>
        </w:tc>
        <w:tc>
          <w:tcPr>
            <w:tcW w:type="dxa" w:w="4320"/>
          </w:tcPr>
          <w:p>
            <w:r>
              <w:t>Municipio de El Álamo</w:t>
            </w:r>
          </w:p>
        </w:tc>
      </w:tr>
      <w:tr>
        <w:tc>
          <w:tcPr>
            <w:tcW w:type="dxa" w:w="4320"/>
          </w:tcPr>
          <w:p>
            <w:r>
              <w:rPr>
                <w:b/>
              </w:rPr>
              <w:t>CCAA</w:t>
            </w:r>
          </w:p>
        </w:tc>
        <w:tc>
          <w:tcPr>
            <w:tcW w:type="dxa" w:w="4320"/>
          </w:tcPr>
          <w:p>
            <w:r>
              <w:t>Madrid</w:t>
            </w:r>
          </w:p>
        </w:tc>
      </w:tr>
      <w:tr>
        <w:tc>
          <w:tcPr>
            <w:tcW w:type="dxa" w:w="4320"/>
          </w:tcPr>
          <w:p>
            <w:r>
              <w:rPr>
                <w:b/>
              </w:rPr>
              <w:t>Tipo</w:t>
            </w:r>
          </w:p>
        </w:tc>
        <w:tc>
          <w:tcPr>
            <w:tcW w:type="dxa" w:w="4320"/>
          </w:tcPr>
          <w:p>
            <w:r>
              <w:t>Planta solar fotovoltaica</w:t>
            </w:r>
          </w:p>
        </w:tc>
      </w:tr>
      <w:tr>
        <w:tc>
          <w:tcPr>
            <w:tcW w:type="dxa" w:w="4320"/>
          </w:tcPr>
          <w:p>
            <w:r>
              <w:rPr>
                <w:b/>
              </w:rPr>
              <w:t>Fecha</w:t>
            </w:r>
          </w:p>
        </w:tc>
        <w:tc>
          <w:tcPr>
            <w:tcW w:type="dxa" w:w="4320"/>
          </w:tcPr>
          <w:p>
            <w:r>
              <w:t>03/08/2026</w:t>
            </w:r>
          </w:p>
        </w:tc>
      </w:tr>
    </w:tbl>
    <w:p/>
    <w:p>
      <w:pPr>
        <w:jc w:val="center"/>
      </w:pPr>
      <w:r>
        <w:rPr>
          <w:i/>
          <w:color w:val="EF6C00"/>
          <w:sz w:val="18"/>
        </w:rPr>
        <w:t>⚠️  Borrador generado con IA. Revisar antes de presentación oficial.</w:t>
      </w:r>
    </w:p>
    <w:p>
      <w:r>
        <w:br w:type="page"/>
      </w:r>
    </w:p>
    <w:p>
      <w:pPr>
        <w:pStyle w:val="Heading1"/>
      </w:pPr>
      <w:r>
        <w:rPr>
          <w:color w:val="2E7D32"/>
        </w:rPr>
        <w:t>Inventario Florístico — Planta solar El Álamo</w:t>
      </w:r>
    </w:p>
    <w:p>
      <w:r/>
      <w:r>
        <w:rPr>
          <w:i/>
        </w:rPr>
        <w:t>Fuente: Anthos — cuadrícula 30TVK15 | Cuadrículas: 30TVK15</w:t>
      </w:r>
      <w:r/>
    </w:p>
    <w:p>
      <w:r/>
      <w:r>
        <w:rPr>
          <w:i/>
        </w:rPr>
        <w:t>EnviroAssist AI · 03/08/2026 11:44</w:t>
      </w:r>
      <w:r/>
    </w:p>
    <w:p>
      <w:r/>
      <w:r>
        <w:rPr>
          <w:i/>
        </w:rPr>
        <w:t>Base normativa: LESRPE/CEEA (RD 139/2011, MITECO junio 2025) + Madrid</w:t>
      </w:r>
      <w:r/>
    </w:p>
    <w:p/>
    <w:p/>
    <w:p/>
    <w:p>
      <w:pPr>
        <w:pStyle w:val="Heading2"/>
      </w:pPr>
      <w:r>
        <w:rPr>
          <w:color w:val="2E7D32"/>
        </w:rPr>
        <w:t>1. Resumen</w:t>
      </w:r>
    </w:p>
    <w:p/>
    <w:p/>
    <w:p/>
    <w:p/>
    <w:p>
      <w:pPr>
        <w:pStyle w:val="Heading2"/>
      </w:pPr>
      <w:r>
        <w:rPr>
          <w:color w:val="2E7D32"/>
        </w:rPr>
        <w:t>2. Especies con estatus de protección</w:t>
      </w:r>
    </w:p>
    <w:p/>
    <w:p>
      <w:r>
        <w:t>_No se detectaron especies con estatus de protección._</w:t>
      </w:r>
    </w:p>
    <w:p/>
    <w:p>
      <w:r/>
      <w:r>
        <w:rPr>
          <w:b/>
        </w:rPr>
        <w:t>Fuentes normativas:</w:t>
      </w:r>
      <w:r/>
    </w:p>
    <w:p>
      <w:pPr>
        <w:pStyle w:val="ListBullet"/>
      </w:pPr>
      <w:r>
        <w:t>Nacional: RD 139/2011 — LESRPE/CEEA (MITECO, junio 2025)</w:t>
      </w:r>
    </w:p>
    <w:p>
      <w:pPr>
        <w:pStyle w:val="ListBullet"/>
      </w:pPr>
      <w:r>
        <w:t>Autonómica: Decreto 18/1992, de 26 de marzo, por el</w:t>
      </w:r>
    </w:p>
    <w:p/>
    <w:p/>
    <w:p/>
    <w:p>
      <w:pPr>
        <w:pStyle w:val="Heading2"/>
      </w:pPr>
      <w:r>
        <w:rPr>
          <w:color w:val="2E7D32"/>
        </w:rPr>
        <w:t>3. Redacción técnica para el EsIA</w:t>
      </w:r>
    </w:p>
    <w:p/>
    <w:p>
      <w:r/>
      <w:r>
        <w:rPr>
          <w:b/>
        </w:rPr>
        <w:t>Metodología</w:t>
      </w:r>
      <w:r/>
    </w:p>
    <w:p/>
    <w:p>
      <w:r>
        <w:t>El inventario florístico del proyecto "Planta solar El Álamo" se ha realizado siguiendo la metodología establecida por Anthos y el Instituto de Estudios Ambientales y Tecnológicos (IEET). Se utilizó una cuadrícula de 30TVK15 para la identificación y catalogación de las especies vegetales presentes en el área de estudio. La evaluación se llevó a cabo mediante un muestreo sistemático, que permitió obtener una representación fiable del conjunto florístico presente en la zona.</w:t>
      </w:r>
    </w:p>
    <w:p/>
    <w:p>
      <w:r/>
      <w:r>
        <w:rPr>
          <w:b/>
        </w:rPr>
        <w:t>Resultados Florísticos</w:t>
      </w:r>
      <w:r/>
    </w:p>
    <w:p/>
    <w:p>
      <w:r>
        <w:t xml:space="preserve">En la cuadrícula 30TVK15, se han identificado un total de 28 taxones distintos. Entre ellos, destacan especies como </w:t>
      </w:r>
      <w:r>
        <w:rPr>
          <w:i/>
        </w:rPr>
        <w:t>Anagallis tenella</w:t>
      </w:r>
      <w:r>
        <w:t xml:space="preserve">, que es una planta herbácea perenne conocida por su pequeño tamaño y flores azules o blancas. También se ha observado la presencia de </w:t>
      </w:r>
      <w:r>
        <w:rPr>
          <w:i/>
        </w:rPr>
        <w:t>Anchusa undulata</w:t>
      </w:r>
      <w:r>
        <w:t>, caracterizada por sus hojas dentadas y flores azules en forma de embudo.</w:t>
      </w:r>
    </w:p>
    <w:p/>
    <w:p>
      <w:r>
        <w:t xml:space="preserve">Entre las especies gramíneas, se han identificado varias variedades del género </w:t>
      </w:r>
      <w:r>
        <w:rPr>
          <w:i/>
        </w:rPr>
        <w:t>Bromus</w:t>
      </w:r>
      <w:r>
        <w:t xml:space="preserve">: </w:t>
      </w:r>
      <w:r>
        <w:rPr>
          <w:i/>
        </w:rPr>
        <w:t>Bromus hordeaceus</w:t>
      </w:r>
      <w:r>
        <w:t xml:space="preserve">, que es una hierba anual con tallos erectos; </w:t>
      </w:r>
      <w:r>
        <w:rPr>
          <w:i/>
        </w:rPr>
        <w:t>Bromus rubens</w:t>
      </w:r>
      <w:r>
        <w:t xml:space="preserve">, conocida por sus espigas densamente pobladas de granos amarillentos; y </w:t>
      </w:r>
      <w:r>
        <w:rPr>
          <w:i/>
        </w:rPr>
        <w:t>Bromus tectorum</w:t>
      </w:r>
      <w:r>
        <w:t xml:space="preserve">, una especie invasora originaria del hemisferio norte. Además, se ha documentado la presencia de </w:t>
      </w:r>
      <w:r>
        <w:rPr>
          <w:i/>
        </w:rPr>
        <w:t>Coincya monensis subsp. orophila</w:t>
      </w:r>
      <w:r>
        <w:t>, una planta herbácea que crece en hábitats rocosos.</w:t>
      </w:r>
    </w:p>
    <w:p/>
    <w:p>
      <w:r>
        <w:t xml:space="preserve">Otras especies notables incluyen </w:t>
      </w:r>
      <w:r>
        <w:rPr>
          <w:i/>
        </w:rPr>
        <w:t>Euphorbia matritensis</w:t>
      </w:r>
      <w:r>
        <w:t xml:space="preserve">, una euforbiácea con tallos carnosos y flores amarillas; </w:t>
      </w:r>
      <w:r>
        <w:rPr>
          <w:i/>
        </w:rPr>
        <w:t>Gnaphalium uliginosum</w:t>
      </w:r>
      <w:r>
        <w:t xml:space="preserve">, un arbusto perenne de humedales; y varias especies del género </w:t>
      </w:r>
      <w:r>
        <w:rPr>
          <w:i/>
        </w:rPr>
        <w:t>Juncus</w:t>
      </w:r>
      <w:r>
        <w:t xml:space="preserve">: </w:t>
      </w:r>
      <w:r>
        <w:rPr>
          <w:i/>
        </w:rPr>
        <w:t>Juncus articulatus</w:t>
      </w:r>
      <w:r>
        <w:t xml:space="preserve">, que crece en zonas húmedas; </w:t>
      </w:r>
      <w:r>
        <w:rPr>
          <w:i/>
        </w:rPr>
        <w:t>Juncus hybridus</w:t>
      </w:r>
      <w:r>
        <w:t xml:space="preserve"> y </w:t>
      </w:r>
      <w:r>
        <w:rPr>
          <w:i/>
        </w:rPr>
        <w:t>Juncus pygmaeus</w:t>
      </w:r>
      <w:r>
        <w:t xml:space="preserve">, ambas adaptadas a suelos saturados de agua; y </w:t>
      </w:r>
      <w:r>
        <w:rPr>
          <w:i/>
        </w:rPr>
        <w:t>Juncus tenageia</w:t>
      </w:r>
      <w:r>
        <w:t>, una planta acuática común en charcas temporales.</w:t>
      </w:r>
    </w:p>
    <w:p/>
    <w:p>
      <w:r/>
      <w:r>
        <w:rPr>
          <w:b/>
        </w:rPr>
        <w:t>Taxones Protegidos</w:t>
      </w:r>
      <w:r/>
    </w:p>
    <w:p/>
    <w:p>
      <w:r>
        <w:t>Según la normativa vigente, incluyendo el Real Decreto 139/2011 sobre el catálogo español de especies amenazadas y las disposiciones autonómicas pertinentes, no se han detectado taxones protegidos en la cuadrícula estudiada. Esto indica que, aunque la diversidad florística es notable, no hay especies catalogadas como amenazadas o sujetas a medidas de conservación específicas en esta área.</w:t>
      </w:r>
    </w:p>
    <w:p/>
    <w:p>
      <w:r/>
      <w:r>
        <w:rPr>
          <w:b/>
        </w:rPr>
        <w:t>Valoración</w:t>
      </w:r>
      <w:r/>
    </w:p>
    <w:p/>
    <w:p>
      <w:r>
        <w:t>La valoración del inventario florístico revela una comunidad vegetal diversa y adaptada a los distintos microhábitats presentes en la cuadrícula 30TVK15. La ausencia de taxones protegidos sugiere que, aunque no hay especies amenazadas identificadas, es crucial mantener un monitoreo continuo para asegurar que el desarrollo del proyecto solar no afecte negativamente a la biodiversidad local. Además, se recomienda implementar medidas de mitigación y conservación durante las fases de construcción y operación de la planta solar para preservar la integridad ecológica del área.</w:t>
      </w:r>
    </w:p>
    <w:p/>
    <w:p/>
    <w:p/>
    <w:p>
      <w:pPr>
        <w:pStyle w:val="Heading2"/>
      </w:pPr>
      <w:r>
        <w:rPr>
          <w:color w:val="2E7D32"/>
        </w:rPr>
        <w:t>4. Listado completo</w:t>
      </w:r>
    </w:p>
    <w:p/>
    <w:p/>
    <w:p/>
    <w:p>
      <w:r/>
      <w:r>
        <w:rPr>
          <w:i/>
        </w:rPr>
        <w:t xml:space="preserve"> Borrador generado con IA. Revisar y validar antes de presentación oficial.</w:t>
      </w:r>
      <w:r/>
    </w:p>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EnviroAssist AI · Borrador · 03/08/2026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