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Microsoft YaHei" w:hAnsi="Microsoft YaHei" w:eastAsia="微软雅黑"/>
          <w:b/>
          <w:color w:val="1F4E79"/>
          <w:sz w:val="44"/>
        </w:rPr>
        <w:t>招聘公司内部 OA 系统需求文档</w:t>
      </w:r>
    </w:p>
    <w:p>
      <w:pPr>
        <w:jc w:val="center"/>
      </w:pPr>
      <w:r>
        <w:rPr>
          <w:color w:val="646464"/>
          <w:sz w:val="22"/>
        </w:rPr>
        <w:t>版本：V2.0（需求范围梳理版）</w:t>
      </w:r>
    </w:p>
    <w:p>
      <w:pPr>
        <w:jc w:val="center"/>
      </w:pPr>
      <w:r>
        <w:rPr>
          <w:sz w:val="20"/>
        </w:rPr>
        <w:t>编制日期：2026-10-29</w:t>
      </w:r>
    </w:p>
    <w:p/>
    <w:p>
      <w:pPr>
        <w:pStyle w:val="Heading1"/>
      </w:pPr>
      <w:r>
        <w:t>1. 项目概述</w:t>
      </w:r>
    </w:p>
    <w:p>
      <w:r>
        <w:t>建设一套面向招聘服务公司的内部 OA 系统，采用 PC Web 管理端与移动 H5 员工端。系统围绕组织与权限、人事档案、已核算薪资导入及工资条发布、钉钉数据只读集成等核心需求开展建设，并为后续 OA 业务模板和报表能力预留扩展空间。</w:t>
      </w:r>
    </w:p>
    <w:p>
      <w:pPr>
        <w:pStyle w:val="Heading2"/>
      </w:pPr>
      <w:r>
        <w:t>1.1 建设原则</w:t>
      </w:r>
    </w:p>
    <w:p>
      <w:pPr>
        <w:pStyle w:val="ListBullet"/>
      </w:pPr>
      <w:r>
        <w:t>钉钉继续作为考勤和 HR 工单的权威系统；自建 OA 一期仅同步、查询、统计和跳转，不重复建设打卡规则或工单流转。</w:t>
      </w:r>
    </w:p>
    <w:p>
      <w:pPr>
        <w:pStyle w:val="ListBullet"/>
      </w:pPr>
      <w:r>
        <w:t>一期范围以本文件的模块范围表及双方最终确认结果为准；未明确纳入的功能不默认视为一期必做。</w:t>
      </w:r>
    </w:p>
    <w:p>
      <w:pPr>
        <w:pStyle w:val="ListBullet"/>
      </w:pPr>
      <w:r>
        <w:t>员工只能访问本人数据；薪资、人事敏感字段按角色、操作和数据范围进行授权。</w:t>
      </w:r>
    </w:p>
    <w:p>
      <w:pPr>
        <w:pStyle w:val="ListBullet"/>
      </w:pPr>
      <w:r>
        <w:t>优先复用确认后的现有前端仓库；后端采用独立的 Spring Boot 模块化单体。</w:t>
      </w:r>
    </w:p>
    <w:p>
      <w:pPr>
        <w:pStyle w:val="ListBullet"/>
      </w:pPr>
      <w:r>
        <w:t>钉钉 API 权限、数据字段及历史可查询范围须先通过企业授权环境验证。</w:t>
      </w:r>
    </w:p>
    <w:p>
      <w:pPr>
        <w:pStyle w:val="Heading1"/>
      </w:pPr>
      <w:r>
        <w:t>2. 项目范围与迭代规划</w:t>
      </w:r>
    </w:p>
    <w:p>
      <w:r>
        <w:t>下表保留业务提出的模块及迭代划分。由于原始范围中存在部分模块标注为“一期必做”、但依赖二期主数据或与“暂不建设自建审批”原则存在冲突的情况，相关内容在备注中标记为需立项评审确认，避免直接作为无条件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模块</w:t>
            </w:r>
          </w:p>
        </w:tc>
        <w:tc>
          <w:tcPr>
            <w:tcW w:type="dxa" w:w="6984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内容与边界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迭代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系统与权限管理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组织架构、部门岗位、账号启停、角色权限、数据范围、字典参数、消息模板、登录/操作审计、钉钉同步状态、文件上传策略。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个人中心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手机号登录、个人基本资料、密码/登录安全、站内通知、工资条入口；本人修改手机号/紧急联系人方式待确认。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人事管理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员工档案、组织/岗位/直属主管、员工状态与历史、批量导入导出、基础查询；与入职、转岗、离职流程联动。若涉及线上审批流转，流程范围另行确认。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工资条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导入已核算完成的薪资数据，校验后生成并发布工资条；员工本人 H5/PC 查询，发布和访问操作留审计；不做薪资计算。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员工 H5 或小程序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手机号登录、个人中心、本人资料、工资条查看；只读查看同步到本人的钉钉考勤结果/HR 工单状态，并可跳转钉钉。小程序是否纳入一期需确认；默认优先交付 H5。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一期（必做；建议先交付 H5）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钉钉数据集成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经企业授权，通过官方 API/回调读取考勤打卡结果和钉钉 OA HR 工单审批记录；字段映射、基础统计、增量/补偿同步、幂等去重、只读查询和审计。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一期（必做；以 PoC 验证接口能力为前提）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审批流程—人事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入职、转岗、离职流程；流程节点/审批人/表单字段由 HR 提供，审批动作及历史留痕。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一期（必做，需确认是否建设自建审批；与只维护人事状态的范围区分）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审批流程—采购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采购流程：公司办公用品审批。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一期（必做，需确认流程表单、节点与审批人）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审批流程—财务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费用报销、借款、付款申请、开票申请、发票库。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一期（必做，需确认一期是否实际建设自建审批及发票库）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审批流程—行政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用印申请、合同审批、文件阅览、办公用品领用。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一期（必做，需确认具体流程及文件权限）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审批流程—客户与合同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客户建档/变更、合同审批、费用/折扣审批、付款/续费变更；依赖客户与合同主数据模块。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一期（可选；依赖客户与合同主数据，需确认依赖是否同步纳入一期）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招聘协同—职位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职位立项/关闭。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一期（可选）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招聘协同—佣金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佣金确认/回款认领。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一期（可选）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招聘协同—Offer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Offer 审批/保证期跟踪。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一期（可选）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客户与合同管理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客户档案、对接人、合同审批/变更、需求票、开票、回款记录；与客户相关审批流程配套。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一期（必做；与“依赖二期客户与合同主数据”存在范围冲突，需评审确认）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考勤与工时自研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钉钉打卡查询、数据同步、请假/加班、项目工时统计。钉钉现有打卡/HR 工单只读集成仍属一期；本地考勤规则、请假加班和工时管理按原规划列入后续阶段，具体边界另行确认。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三期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绩效管理—薪资绩效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薪资/提成计算、绩效薪资及规则配置；一期工资条只导入外部已核算结果，不包含此模块。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二期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绩效管理—招聘绩效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招聘顾问/职位/候选人等绩效指标及结果管理；一期基础看板仅提供过程数据，不提供绩效考核或薪酬计算。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二期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数据报表与看板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推荐、面试、Offer、入职、回款、客户贡献、顾问排名、职位关闭周期。分阶段提供；客户贡献/回款指标依赖客户合同及回款数据，若无现成来源则需在后续模块建设或由业务确认导入来源。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二期</w:t>
            </w:r>
          </w:p>
        </w:tc>
      </w:tr>
    </w:tbl>
    <w:p>
      <w:pPr>
        <w:spacing w:after="20"/>
      </w:pPr>
    </w:p>
    <w:p>
      <w:pPr>
        <w:pStyle w:val="Heading1"/>
      </w:pPr>
      <w:r>
        <w:t>3. 一期范围边界与关键业务规则</w:t>
      </w:r>
    </w:p>
    <w:p>
      <w:pPr>
        <w:pStyle w:val="Heading2"/>
      </w:pPr>
      <w:r>
        <w:t>3.1 钉钉集成边界</w:t>
      </w:r>
    </w:p>
    <w:p>
      <w:pPr>
        <w:pStyle w:val="ListBullet"/>
      </w:pPr>
      <w:r>
        <w:t>钉钉继续负责考勤打卡、考勤规则及 HR 工单受理和流转；OA 不提供本地打卡、补卡、排班或工单写操作。</w:t>
      </w:r>
    </w:p>
    <w:p>
      <w:pPr>
        <w:pStyle w:val="ListBullet"/>
      </w:pPr>
      <w:r>
        <w:t>仅通过企业授权的官方 API、正式支持的事件回调或经批准的数据导出获取数据，不读取钉钉内部数据库或抓取页面。</w:t>
      </w:r>
    </w:p>
    <w:p>
      <w:pPr>
        <w:pStyle w:val="ListBullet"/>
      </w:pPr>
      <w:r>
        <w:t>本地钉钉数据作为只读镜像保存，记录来源系统、来源记录 ID、同步时间和必要的更新时间。</w:t>
      </w:r>
    </w:p>
    <w:p>
      <w:pPr>
        <w:pStyle w:val="ListBullet"/>
      </w:pPr>
      <w:r>
        <w:t>同步任务需要具备幂等去重、失败重试、补偿重跑、异常记录和基础对账能力。</w:t>
      </w:r>
    </w:p>
    <w:p>
      <w:pPr>
        <w:pStyle w:val="ListBullet"/>
      </w:pPr>
      <w:r>
        <w:t>不默认采集定位、打卡照片、设备标识等高敏数据；历史数据范围以实际 API 权限和 PoC 结果为准。</w:t>
      </w:r>
    </w:p>
    <w:p>
      <w:pPr>
        <w:pStyle w:val="Heading2"/>
      </w:pPr>
      <w:r>
        <w:t>3.2 薪资与工资条规则</w:t>
      </w:r>
    </w:p>
    <w:p>
      <w:pPr>
        <w:pStyle w:val="ListBullet"/>
      </w:pPr>
      <w:r>
        <w:t>一期仅导入已核算完成的薪资结果，不实现工资、个税、社保公积金计算及银行代发。</w:t>
      </w:r>
    </w:p>
    <w:p>
      <w:pPr>
        <w:pStyle w:val="ListBullet"/>
      </w:pPr>
      <w:r>
        <w:t>薪资文件须经过格式、员工匹配、必填字段、重复数据等校验；错误应能定位到具体行和字段。</w:t>
      </w:r>
    </w:p>
    <w:p>
      <w:pPr>
        <w:pStyle w:val="ListBullet"/>
      </w:pPr>
      <w:r>
        <w:t>未发布批次不可被员工查询；普通员工仅可查看本人的已发布工资条。</w:t>
      </w:r>
    </w:p>
    <w:p>
      <w:pPr>
        <w:pStyle w:val="ListBullet"/>
      </w:pPr>
      <w:r>
        <w:t>已发布工资条不得无痕覆盖；更正或作废必须保留版本、操作人、时间及必要原因。</w:t>
      </w:r>
    </w:p>
    <w:p>
      <w:pPr>
        <w:pStyle w:val="ListBullet"/>
      </w:pPr>
      <w:r>
        <w:t>薪资导入、发布、查看、下载和导出应进行权限校验并记录审计。</w:t>
      </w:r>
    </w:p>
    <w:p>
      <w:pPr>
        <w:pStyle w:val="Heading2"/>
      </w:pPr>
      <w:r>
        <w:t>3.3 人事与账号规则</w:t>
      </w:r>
    </w:p>
    <w:p>
      <w:pPr>
        <w:pStyle w:val="ListBullet"/>
      </w:pPr>
      <w:r>
        <w:t>使用稳定的员工编号作为员工业务标识，并维护手机号、员工编号与钉钉 userId 的映射关系。</w:t>
      </w:r>
    </w:p>
    <w:p>
      <w:pPr>
        <w:pStyle w:val="ListBullet"/>
      </w:pPr>
      <w:r>
        <w:t>员工入职、转岗、离职的状态和历史需要可追溯；是否实现线上审批流转需单独确认。</w:t>
      </w:r>
    </w:p>
    <w:p>
      <w:pPr>
        <w:pStyle w:val="ListBullet"/>
      </w:pPr>
      <w:r>
        <w:t>离职或停用账号后应撤销登录权限、有效会话及相关授权；历史业务数据按制度保留。</w:t>
      </w:r>
    </w:p>
    <w:p>
      <w:pPr>
        <w:pStyle w:val="ListBullet"/>
      </w:pPr>
      <w:r>
        <w:t>员工是否能直接修改手机号和紧急联系人尚未确认，确认前不开放相应修改接口。</w:t>
      </w:r>
    </w:p>
    <w:p>
      <w:pPr>
        <w:pStyle w:val="Heading1"/>
      </w:pPr>
      <w:r>
        <w:t>4. 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层级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建议方案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前端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Vue 2.6、JavaScript ES6、Vue 单文件组件、Vite 2、Ant Design Vue 1.x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优先复用现有仓库；先核实上游地址、依赖、安全和构建兼容性。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员工端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移动 H5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与管理端共用认证、后端 API 和权限体系；小程序不默认纳入一期。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后端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Java 21、Spring Boot 3.x、Spring MVC、Spring Security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采用模块化单体，不在一期引入微服务或通用工作流引擎。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数据访问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MyBatis/MyBatis-Plus 或 Spring Data JPA（二选一）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项目内统一数据访问技术。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数据库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MySQL 8.x（或按公司标准确定 PostgreSQL）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立项时确定唯一主库。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缓存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Redis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用于短期缓存、验证码、限流等，不作为工资等主数据的唯一存储。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文件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私有对象存储或经审核的等效方案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工资附件需鉴权并使用短时下载链接。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集成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钉钉官方 API、经验证的事件回调、定时同步任务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统一由钉钉连接器负责鉴权、映射、重试和审计。</w:t>
            </w:r>
          </w:p>
        </w:tc>
      </w:tr>
    </w:tbl>
    <w:p>
      <w:pPr>
        <w:spacing w:after="20"/>
      </w:pPr>
    </w:p>
    <w:p>
      <w:pPr>
        <w:pStyle w:val="Heading1"/>
      </w:pPr>
      <w:r>
        <w:t>5. 安全与非功能要求</w:t>
      </w:r>
    </w:p>
    <w:p>
      <w:pPr>
        <w:pStyle w:val="ListBullet"/>
      </w:pPr>
      <w:r>
        <w:t>服务端统一执行菜单、操作、数据范围和字段级权限；前端隐藏菜单不能替代服务端授权。</w:t>
      </w:r>
    </w:p>
    <w:p>
      <w:pPr>
        <w:pStyle w:val="ListBullet"/>
      </w:pPr>
      <w:r>
        <w:t>全站使用 HTTPS；凭据存放于受控配置或密钥管理系统；日志不得记录明文口令、Token 或完整工资单内容。</w:t>
      </w:r>
    </w:p>
    <w:p>
      <w:pPr>
        <w:pStyle w:val="ListBullet"/>
      </w:pPr>
      <w:r>
        <w:t>工资文件采用私有存储，下载时重新校验用户身份和对象权限；上传文件需限制类型、大小，并根据部署条件配置恶意文件检测。</w:t>
      </w:r>
    </w:p>
    <w:p>
      <w:pPr>
        <w:pStyle w:val="ListBullet"/>
      </w:pPr>
      <w:r>
        <w:t>生产、测试和开发环境隔离；测试工资和员工信息使用合成数据。</w:t>
      </w:r>
    </w:p>
    <w:p>
      <w:pPr>
        <w:pStyle w:val="ListBullet"/>
      </w:pPr>
      <w:r>
        <w:t>审计日志采用追加写入或严格受限的修改策略，并设定保存期限。</w:t>
      </w:r>
    </w:p>
    <w:p>
      <w:pPr>
        <w:pStyle w:val="ListBullet"/>
      </w:pPr>
      <w:r>
        <w:t>建议性能起点：普通 API P95 不超过 500ms（不含外部接口及大文件处理）；主要页面在稳定网络下 3 秒内可交互。</w:t>
      </w:r>
    </w:p>
    <w:p>
      <w:pPr>
        <w:pStyle w:val="ListBullet"/>
      </w:pPr>
      <w:r>
        <w:t>建议可用性目标 99.5%/月；RPO 暂定不超过 24 小时、RTO 暂定不超过 4 小时，须通过备份恢复演练确认。</w:t>
      </w:r>
    </w:p>
    <w:p>
      <w:pPr>
        <w:pStyle w:val="Heading1"/>
      </w:pPr>
      <w:r>
        <w:t>6. 一期验收标准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验收领域</w:t>
            </w:r>
          </w:p>
        </w:tc>
        <w:tc>
          <w:tcPr>
            <w:tcW w:type="dxa" w:w="8568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验收标准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账号权限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普通员工不能访问未授权管理 API，不能查询他人工资条；离职停用后不能继续访问受保护资源。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人事档案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支持档案维护和状态变更；重复员工编号、错误部门等导入问题可定位到具体行；历史变更可追溯。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薪资导入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可导入已核算文件；校验错误可定位；未发布工资条不可见；更正保留版本及审计。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钉钉集成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身份映射正确；重复拉取/回调不产生重复记录；失败可追踪、重试和补偿；只读边界有效。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文件安全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未授权用户不能通过猜测文件地址下载工资附件；敏感下载和导出均有审计。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终端体验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PC 管理端和员工 H5 主要流程可用，加载、空数据、错误和权限不足状态提示清晰。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运维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完成备份恢复验证、关键日志监控、部署文档及必要的安全测试。</w:t>
            </w:r>
          </w:p>
        </w:tc>
      </w:tr>
    </w:tbl>
    <w:p>
      <w:pPr>
        <w:spacing w:after="20"/>
      </w:pPr>
    </w:p>
    <w:p>
      <w:pPr>
        <w:pStyle w:val="Heading1"/>
      </w:pPr>
      <w:r>
        <w:t>7.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92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编号</w:t>
            </w:r>
          </w:p>
        </w:tc>
        <w:tc>
          <w:tcPr>
            <w:tcW w:type="dxa" w:w="9576"/>
            <w:vAlign w:val="center"/>
            <w:shd w:fill="D9EAF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待确认内容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手机号登录采用短信验证码、密码还是组合方式？是否有现成短信服务？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员工是否可以自行修改手机号、紧急联系人？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HR/财务提供的薪资文件格式、字段、员工匹配键和工资条字段是什么？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薪资导入是否允许部分成功后逐行修正，再重新校验？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是否在一期建设自建审批？若建设，人事、采购、财务、行政流程的节点、审批人和表单由谁提供？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客户与合同管理被标注为一期必做，但部分客户合同审批依赖二期主数据；是否将主数据及相关流程一起纳入一期？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钉钉应用可读取的考勤和 HR 工单字段、历史范围及跳转链接需通过企业授权 PoC 验证。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最终复用的 qs-web 仓库地址、分支和提交版本是什么？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员工规模、峰值并发、部署环境、预算及备份设施是什么？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</w:t>
            </w:r>
          </w:p>
        </w:tc>
        <w:tc>
          <w:tcPr>
            <w:tcW w:type="dxa" w:w="9576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H5 是否为一期唯一移动端，还是必须同时交付小程序？</w:t>
            </w:r>
          </w:p>
        </w:tc>
      </w:tr>
    </w:tbl>
    <w:p>
      <w:pPr>
        <w:spacing w:after="20"/>
      </w:pPr>
    </w:p>
    <w:p>
      <w:pPr>
        <w:pStyle w:val="Heading1"/>
      </w:pPr>
      <w:r>
        <w:t>8. 范围变更原则</w:t>
      </w:r>
    </w:p>
    <w:p>
      <w:r>
        <w:t>一期范围以评审通过后的需求清单为准。新增或调整模块时，应同步确认业务目标、涉及角色、业务规则、数据字段、权限边界、验收标准、外部依赖及研发工作量。未完成评审的候选模块不自动进入一期开发排期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招聘公司内部 OA 系统需求文档 · 需求范围梳理版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