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FD86C" w14:textId="616297BB" w:rsidR="00010AAD" w:rsidRPr="0068478F" w:rsidRDefault="00006469" w:rsidP="006847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68478F">
        <w:rPr>
          <w:rFonts w:ascii="Times New Roman" w:hAnsi="Times New Roman" w:cs="Times New Roman"/>
          <w:b/>
          <w:sz w:val="28"/>
          <w:szCs w:val="24"/>
          <w:lang w:val="en-GB"/>
        </w:rPr>
        <w:t xml:space="preserve">Hakim </w:t>
      </w:r>
      <w:proofErr w:type="spellStart"/>
      <w:r w:rsidRPr="0068478F">
        <w:rPr>
          <w:rFonts w:ascii="Times New Roman" w:hAnsi="Times New Roman" w:cs="Times New Roman"/>
          <w:b/>
          <w:sz w:val="28"/>
          <w:szCs w:val="24"/>
          <w:lang w:val="en-GB"/>
        </w:rPr>
        <w:t>sebagai</w:t>
      </w:r>
      <w:proofErr w:type="spellEnd"/>
      <w:r w:rsidRPr="0068478F">
        <w:rPr>
          <w:rFonts w:ascii="Times New Roman" w:hAnsi="Times New Roman" w:cs="Times New Roman"/>
          <w:b/>
          <w:sz w:val="28"/>
          <w:szCs w:val="24"/>
          <w:lang w:val="en-GB"/>
        </w:rPr>
        <w:t xml:space="preserve"> </w:t>
      </w:r>
      <w:proofErr w:type="spellStart"/>
      <w:r w:rsidRPr="0068478F">
        <w:rPr>
          <w:rFonts w:ascii="Times New Roman" w:hAnsi="Times New Roman" w:cs="Times New Roman"/>
          <w:b/>
          <w:sz w:val="28"/>
          <w:szCs w:val="24"/>
          <w:lang w:val="en-GB"/>
        </w:rPr>
        <w:t>Intelektual</w:t>
      </w:r>
      <w:proofErr w:type="spellEnd"/>
      <w:r w:rsidRPr="0068478F">
        <w:rPr>
          <w:rFonts w:ascii="Times New Roman" w:hAnsi="Times New Roman" w:cs="Times New Roman"/>
          <w:b/>
          <w:sz w:val="28"/>
          <w:szCs w:val="24"/>
          <w:lang w:val="en-GB"/>
        </w:rPr>
        <w:t xml:space="preserve"> </w:t>
      </w:r>
      <w:proofErr w:type="spellStart"/>
      <w:r w:rsidRPr="0068478F">
        <w:rPr>
          <w:rFonts w:ascii="Times New Roman" w:hAnsi="Times New Roman" w:cs="Times New Roman"/>
          <w:b/>
          <w:sz w:val="28"/>
          <w:szCs w:val="24"/>
          <w:lang w:val="en-GB"/>
        </w:rPr>
        <w:t>Organik</w:t>
      </w:r>
      <w:proofErr w:type="spellEnd"/>
    </w:p>
    <w:p w14:paraId="2024951D" w14:textId="5785B7CF" w:rsidR="00006469" w:rsidRPr="00A57614" w:rsidRDefault="00006469" w:rsidP="006847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Oleh: </w:t>
      </w:r>
      <w:proofErr w:type="spellStart"/>
      <w:r w:rsidRPr="00A57614">
        <w:rPr>
          <w:rFonts w:ascii="Times New Roman" w:hAnsi="Times New Roman" w:cs="Times New Roman"/>
          <w:sz w:val="24"/>
          <w:szCs w:val="24"/>
          <w:lang w:val="en-GB"/>
        </w:rPr>
        <w:t>Catur</w:t>
      </w:r>
      <w:proofErr w:type="spellEnd"/>
      <w:r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7614">
        <w:rPr>
          <w:rFonts w:ascii="Times New Roman" w:hAnsi="Times New Roman" w:cs="Times New Roman"/>
          <w:sz w:val="24"/>
          <w:szCs w:val="24"/>
          <w:lang w:val="en-GB"/>
        </w:rPr>
        <w:t>Alfath</w:t>
      </w:r>
      <w:proofErr w:type="spellEnd"/>
      <w:r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7614">
        <w:rPr>
          <w:rFonts w:ascii="Times New Roman" w:hAnsi="Times New Roman" w:cs="Times New Roman"/>
          <w:sz w:val="24"/>
          <w:szCs w:val="24"/>
          <w:lang w:val="en-GB"/>
        </w:rPr>
        <w:t>Satriya</w:t>
      </w:r>
      <w:proofErr w:type="spellEnd"/>
    </w:p>
    <w:p w14:paraId="3FE954CB" w14:textId="4C970970" w:rsidR="00C4742B" w:rsidRDefault="00C4742B" w:rsidP="006847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Hakim </w:t>
      </w:r>
      <w:proofErr w:type="spellStart"/>
      <w:r w:rsidRPr="00A57614">
        <w:rPr>
          <w:rFonts w:ascii="Times New Roman" w:hAnsi="Times New Roman" w:cs="Times New Roman"/>
          <w:sz w:val="24"/>
          <w:szCs w:val="24"/>
          <w:lang w:val="en-GB"/>
        </w:rPr>
        <w:t>Pengadilan</w:t>
      </w:r>
      <w:proofErr w:type="spellEnd"/>
      <w:r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Negeri </w:t>
      </w:r>
      <w:proofErr w:type="spellStart"/>
      <w:r w:rsidRPr="00A57614">
        <w:rPr>
          <w:rFonts w:ascii="Times New Roman" w:hAnsi="Times New Roman" w:cs="Times New Roman"/>
          <w:sz w:val="24"/>
          <w:szCs w:val="24"/>
          <w:lang w:val="en-GB"/>
        </w:rPr>
        <w:t>Mandailing</w:t>
      </w:r>
      <w:proofErr w:type="spellEnd"/>
      <w:r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Natal</w:t>
      </w:r>
    </w:p>
    <w:p w14:paraId="5951E3DB" w14:textId="3076AE76" w:rsidR="0068478F" w:rsidRDefault="0068478F" w:rsidP="006847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Email: </w:t>
      </w:r>
      <w:hyperlink r:id="rId7" w:history="1">
        <w:r w:rsidRPr="0045777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alfath2892@gmail.com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40FAFF2" w14:textId="20054BB1" w:rsidR="0068478F" w:rsidRDefault="0068478F" w:rsidP="006847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HP/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GB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 081380683274</w:t>
      </w:r>
    </w:p>
    <w:p w14:paraId="063593C1" w14:textId="77777777" w:rsidR="0068478F" w:rsidRPr="0068478F" w:rsidRDefault="0068478F" w:rsidP="006847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1CE2EF2" w14:textId="16BDBFEE" w:rsidR="00F42570" w:rsidRPr="00A57614" w:rsidRDefault="00C4742B" w:rsidP="00A5761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57614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7614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7614">
        <w:rPr>
          <w:rFonts w:ascii="Times New Roman" w:hAnsi="Times New Roman" w:cs="Times New Roman"/>
          <w:sz w:val="24"/>
          <w:szCs w:val="24"/>
          <w:lang w:val="en-GB"/>
        </w:rPr>
        <w:t>profesi</w:t>
      </w:r>
      <w:proofErr w:type="spellEnd"/>
      <w:r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A57614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A57614">
        <w:rPr>
          <w:rFonts w:ascii="Times New Roman" w:hAnsi="Times New Roman" w:cs="Times New Roman"/>
          <w:sz w:val="24"/>
          <w:szCs w:val="24"/>
          <w:lang w:val="en-GB"/>
        </w:rPr>
        <w:t>, hakim</w:t>
      </w:r>
      <w:r w:rsidR="00C61C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61CF4">
        <w:rPr>
          <w:rFonts w:ascii="Times New Roman" w:hAnsi="Times New Roman" w:cs="Times New Roman"/>
          <w:sz w:val="24"/>
          <w:szCs w:val="24"/>
          <w:lang w:val="en-GB"/>
        </w:rPr>
        <w:t>berperan</w:t>
      </w:r>
      <w:proofErr w:type="spellEnd"/>
      <w:r w:rsidR="00C61C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7614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7614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761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menegakkan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keadilan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, hakim juga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peran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menjaga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demokrasi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hak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asasi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negara.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menyadari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perannya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merasa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tugasnya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selesai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ketika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berhasil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menegakkan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undang-undang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Padahal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, pada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hakikatnya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bukanlah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corong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undang-undang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. Hakim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putusannya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mendorong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terciptanya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perubahan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fundamental.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artikel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541CA" w:rsidRPr="00A57614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hakim yang </w:t>
      </w:r>
      <w:proofErr w:type="spellStart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>mendorong</w:t>
      </w:r>
      <w:proofErr w:type="spellEnd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>perubahan</w:t>
      </w:r>
      <w:proofErr w:type="spellEnd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>dikatakan</w:t>
      </w:r>
      <w:proofErr w:type="spellEnd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>organik</w:t>
      </w:r>
      <w:proofErr w:type="spellEnd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>sebagaimana</w:t>
      </w:r>
      <w:proofErr w:type="spellEnd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>dijelaskan</w:t>
      </w:r>
      <w:proofErr w:type="spellEnd"/>
      <w:r w:rsidR="00702EC2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oleh Antonio Gramsci</w:t>
      </w:r>
      <w:r w:rsidR="00F42570"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0739BAB" w14:textId="042E9A5C" w:rsidR="00A57614" w:rsidRDefault="00F42570" w:rsidP="00A57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A57614">
        <w:rPr>
          <w:rFonts w:ascii="Times New Roman" w:hAnsi="Times New Roman" w:cs="Times New Roman"/>
          <w:b/>
          <w:sz w:val="24"/>
          <w:szCs w:val="24"/>
          <w:lang w:val="en-GB"/>
        </w:rPr>
        <w:t>Intelektual</w:t>
      </w:r>
      <w:proofErr w:type="spellEnd"/>
      <w:r w:rsidRPr="00A5761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A57614">
        <w:rPr>
          <w:rFonts w:ascii="Times New Roman" w:hAnsi="Times New Roman" w:cs="Times New Roman"/>
          <w:b/>
          <w:sz w:val="24"/>
          <w:szCs w:val="24"/>
          <w:lang w:val="en-GB"/>
        </w:rPr>
        <w:t>Tradisional</w:t>
      </w:r>
      <w:proofErr w:type="spellEnd"/>
      <w:r w:rsidRPr="00A5761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dan </w:t>
      </w:r>
      <w:proofErr w:type="spellStart"/>
      <w:r w:rsidRPr="00A57614">
        <w:rPr>
          <w:rFonts w:ascii="Times New Roman" w:hAnsi="Times New Roman" w:cs="Times New Roman"/>
          <w:b/>
          <w:sz w:val="24"/>
          <w:szCs w:val="24"/>
          <w:lang w:val="en-GB"/>
        </w:rPr>
        <w:t>Intelektual</w:t>
      </w:r>
      <w:proofErr w:type="spellEnd"/>
      <w:r w:rsidRPr="00A5761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A57614">
        <w:rPr>
          <w:rFonts w:ascii="Times New Roman" w:hAnsi="Times New Roman" w:cs="Times New Roman"/>
          <w:b/>
          <w:sz w:val="24"/>
          <w:szCs w:val="24"/>
          <w:lang w:val="en-GB"/>
        </w:rPr>
        <w:t>Organi</w:t>
      </w:r>
      <w:r w:rsidR="00A57614" w:rsidRPr="00A57614">
        <w:rPr>
          <w:rFonts w:ascii="Times New Roman" w:hAnsi="Times New Roman" w:cs="Times New Roman"/>
          <w:b/>
          <w:sz w:val="24"/>
          <w:szCs w:val="24"/>
          <w:lang w:val="en-GB"/>
        </w:rPr>
        <w:t>k</w:t>
      </w:r>
      <w:proofErr w:type="spellEnd"/>
    </w:p>
    <w:p w14:paraId="26C6993C" w14:textId="2E5374CC" w:rsidR="007D2778" w:rsidRDefault="00EA4EF4" w:rsidP="007D27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pemikir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Marxisme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Antonio Gramsci</w:t>
      </w:r>
      <w:r w:rsidR="004E4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E4118"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 w:rsidR="004E4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E4118">
        <w:rPr>
          <w:rFonts w:ascii="Times New Roman" w:hAnsi="Times New Roman" w:cs="Times New Roman"/>
          <w:sz w:val="24"/>
          <w:szCs w:val="24"/>
          <w:lang w:val="en-GB"/>
        </w:rPr>
        <w:t>perspektif</w:t>
      </w:r>
      <w:proofErr w:type="spellEnd"/>
      <w:r w:rsidR="004E411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4E4118">
        <w:rPr>
          <w:rFonts w:ascii="Times New Roman" w:hAnsi="Times New Roman" w:cs="Times New Roman"/>
          <w:sz w:val="24"/>
          <w:szCs w:val="24"/>
          <w:lang w:val="en-GB"/>
        </w:rPr>
        <w:t>unik</w:t>
      </w:r>
      <w:proofErr w:type="spellEnd"/>
      <w:r w:rsidR="004E4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E4118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="004E4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E4118">
        <w:rPr>
          <w:rFonts w:ascii="Times New Roman" w:hAnsi="Times New Roman" w:cs="Times New Roman"/>
          <w:sz w:val="24"/>
          <w:szCs w:val="24"/>
          <w:lang w:val="en-GB"/>
        </w:rPr>
        <w:t>peran</w:t>
      </w:r>
      <w:proofErr w:type="spellEnd"/>
      <w:r w:rsidR="004E4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E4118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4E4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E4118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E4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E4118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4E4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E4118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4E411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4E4118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="004E4118">
        <w:rPr>
          <w:rFonts w:ascii="Times New Roman" w:hAnsi="Times New Roman" w:cs="Times New Roman"/>
          <w:sz w:val="24"/>
          <w:szCs w:val="24"/>
          <w:lang w:val="en-GB"/>
        </w:rPr>
        <w:t xml:space="preserve"> Gramsci,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orang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pemikirannya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rasional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sedikit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mau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mendorong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arah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1FCF">
        <w:rPr>
          <w:rFonts w:ascii="Times New Roman" w:hAnsi="Times New Roman" w:cs="Times New Roman"/>
          <w:sz w:val="24"/>
          <w:szCs w:val="24"/>
          <w:lang w:val="en-GB"/>
        </w:rPr>
        <w:t>kemajuan</w:t>
      </w:r>
      <w:proofErr w:type="spellEnd"/>
      <w:r w:rsidR="00C51FCF">
        <w:rPr>
          <w:rFonts w:ascii="Times New Roman" w:hAnsi="Times New Roman" w:cs="Times New Roman"/>
          <w:sz w:val="24"/>
          <w:szCs w:val="24"/>
          <w:lang w:val="en-GB"/>
        </w:rPr>
        <w:t>. Gramsci</w:t>
      </w:r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berpandangan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unutk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mendorong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para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boleh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sekedar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mengajarkan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menciptakan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hegemoni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terdorong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AA79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94B">
        <w:rPr>
          <w:rFonts w:ascii="Times New Roman" w:hAnsi="Times New Roman" w:cs="Times New Roman"/>
          <w:sz w:val="24"/>
          <w:szCs w:val="24"/>
          <w:lang w:val="en-GB"/>
        </w:rPr>
        <w:t>maju</w:t>
      </w:r>
      <w:proofErr w:type="spellEnd"/>
      <w:r w:rsidR="00FA162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A1624">
        <w:rPr>
          <w:rFonts w:ascii="Times New Roman" w:hAnsi="Times New Roman" w:cs="Times New Roman"/>
          <w:sz w:val="24"/>
          <w:szCs w:val="24"/>
          <w:lang w:val="en-GB"/>
        </w:rPr>
        <w:t>Hegemoni</w:t>
      </w:r>
      <w:proofErr w:type="spellEnd"/>
      <w:r w:rsidR="00FA16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A162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FA16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A1624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FA1624">
        <w:rPr>
          <w:rFonts w:ascii="Times New Roman" w:hAnsi="Times New Roman" w:cs="Times New Roman"/>
          <w:sz w:val="24"/>
          <w:szCs w:val="24"/>
          <w:lang w:val="en-GB"/>
        </w:rPr>
        <w:t xml:space="preserve"> Gramsci</w:t>
      </w:r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penyebab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kegagalan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kaum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proletar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mengambil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alih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kepemimpinan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kaum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borjuis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kaum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proletar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melawan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hegemoni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ide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kapitalisme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jiwa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kaum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F393E">
        <w:rPr>
          <w:rFonts w:ascii="Times New Roman" w:hAnsi="Times New Roman" w:cs="Times New Roman"/>
          <w:sz w:val="24"/>
          <w:szCs w:val="24"/>
          <w:lang w:val="en-GB"/>
        </w:rPr>
        <w:t>borjuis</w:t>
      </w:r>
      <w:proofErr w:type="spellEnd"/>
      <w:r w:rsidR="002F393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35640"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1"/>
      </w:r>
    </w:p>
    <w:p w14:paraId="6892F8AA" w14:textId="254BA326" w:rsidR="00BE5460" w:rsidRDefault="007D2778" w:rsidP="007D27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61CF4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C61C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Gramsci</w:t>
      </w:r>
      <w:r w:rsidR="00C61C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4B0C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="00AF4B0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4B0C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C61C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61CF4">
        <w:rPr>
          <w:rFonts w:ascii="Times New Roman" w:hAnsi="Times New Roman" w:cs="Times New Roman"/>
          <w:sz w:val="24"/>
          <w:szCs w:val="24"/>
          <w:lang w:val="en-GB"/>
        </w:rPr>
        <w:t>dibagi</w:t>
      </w:r>
      <w:proofErr w:type="spellEnd"/>
      <w:r w:rsidR="00C61C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61CF4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C61C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61CF4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="00C61C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4B0C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AF4B0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4B0C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AF4B0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4B0C">
        <w:rPr>
          <w:rFonts w:ascii="Times New Roman" w:hAnsi="Times New Roman" w:cs="Times New Roman"/>
          <w:sz w:val="24"/>
          <w:szCs w:val="24"/>
          <w:lang w:val="en-GB"/>
        </w:rPr>
        <w:t>tradisional</w:t>
      </w:r>
      <w:proofErr w:type="spellEnd"/>
      <w:r w:rsidR="00AF4B0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AF4B0C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AF4B0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4B0C">
        <w:rPr>
          <w:rFonts w:ascii="Times New Roman" w:hAnsi="Times New Roman" w:cs="Times New Roman"/>
          <w:sz w:val="24"/>
          <w:szCs w:val="24"/>
          <w:lang w:val="en-GB"/>
        </w:rPr>
        <w:t>organi</w:t>
      </w:r>
      <w:r w:rsidR="00C22BF9">
        <w:rPr>
          <w:rFonts w:ascii="Times New Roman" w:hAnsi="Times New Roman" w:cs="Times New Roman"/>
          <w:sz w:val="24"/>
          <w:szCs w:val="24"/>
          <w:lang w:val="en-GB"/>
        </w:rPr>
        <w:t>k</w:t>
      </w:r>
      <w:proofErr w:type="spellEnd"/>
      <w:r w:rsidR="00AF4B0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AF4B0C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AF4B0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4B0C">
        <w:rPr>
          <w:rFonts w:ascii="Times New Roman" w:hAnsi="Times New Roman" w:cs="Times New Roman"/>
          <w:sz w:val="24"/>
          <w:szCs w:val="24"/>
          <w:lang w:val="en-GB"/>
        </w:rPr>
        <w:t>tradisional</w:t>
      </w:r>
      <w:proofErr w:type="spellEnd"/>
      <w:r w:rsidR="00C22B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22BF9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C22B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22BF9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C22BF9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 w:rsidR="00C22BF9">
        <w:rPr>
          <w:rFonts w:ascii="Times New Roman" w:hAnsi="Times New Roman" w:cs="Times New Roman"/>
          <w:sz w:val="24"/>
          <w:szCs w:val="24"/>
          <w:lang w:val="en-GB"/>
        </w:rPr>
        <w:t>menara</w:t>
      </w:r>
      <w:proofErr w:type="spellEnd"/>
      <w:r w:rsidR="00C22B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22BF9">
        <w:rPr>
          <w:rFonts w:ascii="Times New Roman" w:hAnsi="Times New Roman" w:cs="Times New Roman"/>
          <w:sz w:val="24"/>
          <w:szCs w:val="24"/>
          <w:lang w:val="en-GB"/>
        </w:rPr>
        <w:t>gading</w:t>
      </w:r>
      <w:proofErr w:type="spellEnd"/>
      <w:r w:rsidR="00C22BF9">
        <w:rPr>
          <w:rFonts w:ascii="Times New Roman" w:hAnsi="Times New Roman" w:cs="Times New Roman"/>
          <w:sz w:val="24"/>
          <w:szCs w:val="24"/>
          <w:lang w:val="en-GB"/>
        </w:rPr>
        <w:t xml:space="preserve">” yang </w:t>
      </w:r>
      <w:proofErr w:type="spellStart"/>
      <w:r w:rsidR="00C22BF9">
        <w:rPr>
          <w:rFonts w:ascii="Times New Roman" w:hAnsi="Times New Roman" w:cs="Times New Roman"/>
          <w:sz w:val="24"/>
          <w:szCs w:val="24"/>
          <w:lang w:val="en-GB"/>
        </w:rPr>
        <w:t>terisolasi</w:t>
      </w:r>
      <w:proofErr w:type="spellEnd"/>
      <w:r w:rsidR="00C22B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22BF9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C22B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22BF9">
        <w:rPr>
          <w:rFonts w:ascii="Times New Roman" w:hAnsi="Times New Roman" w:cs="Times New Roman"/>
          <w:sz w:val="24"/>
          <w:szCs w:val="24"/>
          <w:lang w:val="en-GB"/>
        </w:rPr>
        <w:t>kehidupan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berkutat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teori-teori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implikasi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perubahan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. Pada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lastRenderedPageBreak/>
        <w:t>umumnya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apatis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situasi</w:t>
      </w:r>
      <w:proofErr w:type="spellEnd"/>
      <w:r w:rsidR="001331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33122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A01E0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A01E02">
        <w:rPr>
          <w:rFonts w:ascii="Times New Roman" w:hAnsi="Times New Roman" w:cs="Times New Roman"/>
          <w:sz w:val="24"/>
          <w:szCs w:val="24"/>
          <w:lang w:val="en-GB"/>
        </w:rPr>
        <w:t>sedang</w:t>
      </w:r>
      <w:proofErr w:type="spellEnd"/>
      <w:r w:rsidR="00A01E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01E02"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 w:rsidR="00A01E0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30F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0F21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230F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0F21">
        <w:rPr>
          <w:rFonts w:ascii="Times New Roman" w:hAnsi="Times New Roman" w:cs="Times New Roman"/>
          <w:sz w:val="24"/>
          <w:szCs w:val="24"/>
          <w:lang w:val="en-GB"/>
        </w:rPr>
        <w:t>tradisional</w:t>
      </w:r>
      <w:proofErr w:type="spellEnd"/>
      <w:r w:rsidR="00230F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0F21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="00230F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0F21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="00230F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0F2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230F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0F21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230F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0F21">
        <w:rPr>
          <w:rFonts w:ascii="Times New Roman" w:hAnsi="Times New Roman" w:cs="Times New Roman"/>
          <w:sz w:val="24"/>
          <w:szCs w:val="24"/>
          <w:lang w:val="en-GB"/>
        </w:rPr>
        <w:t>organik</w:t>
      </w:r>
      <w:proofErr w:type="spellEnd"/>
      <w:r w:rsidR="00230F2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230F21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230F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0F21">
        <w:rPr>
          <w:rFonts w:ascii="Times New Roman" w:hAnsi="Times New Roman" w:cs="Times New Roman"/>
          <w:sz w:val="24"/>
          <w:szCs w:val="24"/>
          <w:lang w:val="en-GB"/>
        </w:rPr>
        <w:t>organi</w:t>
      </w:r>
      <w:r w:rsidR="004B585C">
        <w:rPr>
          <w:rFonts w:ascii="Times New Roman" w:hAnsi="Times New Roman" w:cs="Times New Roman"/>
          <w:sz w:val="24"/>
          <w:szCs w:val="24"/>
          <w:lang w:val="en-GB"/>
        </w:rPr>
        <w:t>k</w:t>
      </w:r>
      <w:proofErr w:type="spellEnd"/>
      <w:r w:rsidR="00230F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0F2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230F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0F21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="00230F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30F2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D473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47350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D473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47350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D4735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D47350">
        <w:rPr>
          <w:rFonts w:ascii="Times New Roman" w:hAnsi="Times New Roman" w:cs="Times New Roman"/>
          <w:sz w:val="24"/>
          <w:szCs w:val="24"/>
          <w:lang w:val="en-GB"/>
        </w:rPr>
        <w:t>berkutat</w:t>
      </w:r>
      <w:proofErr w:type="spellEnd"/>
      <w:r w:rsidR="00D473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47350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D473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47350">
        <w:rPr>
          <w:rFonts w:ascii="Times New Roman" w:hAnsi="Times New Roman" w:cs="Times New Roman"/>
          <w:sz w:val="24"/>
          <w:szCs w:val="24"/>
          <w:lang w:val="en-GB"/>
        </w:rPr>
        <w:t>hal-hal</w:t>
      </w:r>
      <w:proofErr w:type="spellEnd"/>
      <w:r w:rsidR="00D4735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D47350">
        <w:rPr>
          <w:rFonts w:ascii="Times New Roman" w:hAnsi="Times New Roman" w:cs="Times New Roman"/>
          <w:sz w:val="24"/>
          <w:szCs w:val="24"/>
          <w:lang w:val="en-GB"/>
        </w:rPr>
        <w:t>praksis</w:t>
      </w:r>
      <w:proofErr w:type="spellEnd"/>
      <w:r w:rsidR="00D47350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D47350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D4735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D47350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D473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47350">
        <w:rPr>
          <w:rFonts w:ascii="Times New Roman" w:hAnsi="Times New Roman" w:cs="Times New Roman"/>
          <w:sz w:val="24"/>
          <w:szCs w:val="24"/>
          <w:lang w:val="en-GB"/>
        </w:rPr>
        <w:t>organik</w:t>
      </w:r>
      <w:proofErr w:type="spellEnd"/>
      <w:r w:rsidR="00D473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47350">
        <w:rPr>
          <w:rFonts w:ascii="Times New Roman" w:hAnsi="Times New Roman" w:cs="Times New Roman"/>
          <w:sz w:val="24"/>
          <w:szCs w:val="24"/>
          <w:lang w:val="en-GB"/>
        </w:rPr>
        <w:t>beru</w:t>
      </w:r>
      <w:r w:rsidR="005978FC">
        <w:rPr>
          <w:rFonts w:ascii="Times New Roman" w:hAnsi="Times New Roman" w:cs="Times New Roman"/>
          <w:sz w:val="24"/>
          <w:szCs w:val="24"/>
          <w:lang w:val="en-GB"/>
        </w:rPr>
        <w:t>paya</w:t>
      </w:r>
      <w:proofErr w:type="spellEnd"/>
      <w:r w:rsidR="005978FC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="00D47350">
        <w:rPr>
          <w:rFonts w:ascii="Times New Roman" w:hAnsi="Times New Roman" w:cs="Times New Roman"/>
          <w:sz w:val="24"/>
          <w:szCs w:val="24"/>
          <w:lang w:val="en-GB"/>
        </w:rPr>
        <w:t>pengetahuannya</w:t>
      </w:r>
      <w:proofErr w:type="spellEnd"/>
      <w:r w:rsidR="005978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978F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5978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47350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="00D47350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D47350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BA5507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menghancurkan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dogma-dogma yang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tertanam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pikiran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bebas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berdaya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mengekspresikan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dirasakannya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organik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hampa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senantiasa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publik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dinamis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dialektis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kehidupan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5460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BE5460">
        <w:rPr>
          <w:rFonts w:ascii="Times New Roman" w:hAnsi="Times New Roman" w:cs="Times New Roman"/>
          <w:sz w:val="24"/>
          <w:szCs w:val="24"/>
          <w:lang w:val="en-GB"/>
        </w:rPr>
        <w:t>.</w:t>
      </w:r>
      <w:bookmarkStart w:id="0" w:name="_GoBack"/>
      <w:bookmarkEnd w:id="0"/>
      <w:r w:rsidR="00491A59"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2"/>
      </w:r>
    </w:p>
    <w:p w14:paraId="40A40960" w14:textId="77777777" w:rsidR="00DD2D1D" w:rsidRDefault="00BE5460" w:rsidP="00BE54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BE5460">
        <w:rPr>
          <w:rFonts w:ascii="Times New Roman" w:hAnsi="Times New Roman" w:cs="Times New Roman"/>
          <w:b/>
          <w:sz w:val="24"/>
          <w:szCs w:val="24"/>
          <w:lang w:val="en-GB"/>
        </w:rPr>
        <w:t>Putusan</w:t>
      </w:r>
      <w:proofErr w:type="spellEnd"/>
      <w:r w:rsidRPr="00BE546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Hakim: </w:t>
      </w:r>
      <w:proofErr w:type="spellStart"/>
      <w:r w:rsidRPr="00BE5460">
        <w:rPr>
          <w:rFonts w:ascii="Times New Roman" w:hAnsi="Times New Roman" w:cs="Times New Roman"/>
          <w:b/>
          <w:sz w:val="24"/>
          <w:szCs w:val="24"/>
          <w:lang w:val="en-GB"/>
        </w:rPr>
        <w:t>Produk</w:t>
      </w:r>
      <w:proofErr w:type="spellEnd"/>
      <w:r w:rsidRPr="00BE546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BE5460">
        <w:rPr>
          <w:rFonts w:ascii="Times New Roman" w:hAnsi="Times New Roman" w:cs="Times New Roman"/>
          <w:b/>
          <w:sz w:val="24"/>
          <w:szCs w:val="24"/>
          <w:lang w:val="en-GB"/>
        </w:rPr>
        <w:t>Intelektual</w:t>
      </w:r>
      <w:proofErr w:type="spellEnd"/>
    </w:p>
    <w:p w14:paraId="12FB25D9" w14:textId="28422FB2" w:rsidR="007D2778" w:rsidRDefault="00DD2D1D" w:rsidP="001401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Gramsci</w:t>
      </w:r>
      <w:r w:rsidR="00FC5504">
        <w:rPr>
          <w:rFonts w:ascii="Times New Roman" w:hAnsi="Times New Roman" w:cs="Times New Roman"/>
          <w:sz w:val="24"/>
          <w:szCs w:val="24"/>
          <w:lang w:val="en-GB"/>
        </w:rPr>
        <w:t xml:space="preserve">an, </w:t>
      </w:r>
      <w:proofErr w:type="spellStart"/>
      <w:r w:rsidR="00FC5504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="00FC55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C5504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="00FC55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C5504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BC151F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BC151F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BC15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151F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BC15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151F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BC15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151F">
        <w:rPr>
          <w:rFonts w:ascii="Times New Roman" w:hAnsi="Times New Roman" w:cs="Times New Roman"/>
          <w:sz w:val="24"/>
          <w:szCs w:val="24"/>
          <w:lang w:val="en-GB"/>
        </w:rPr>
        <w:t>organik</w:t>
      </w:r>
      <w:proofErr w:type="spellEnd"/>
      <w:r w:rsidR="00BC15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151F"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 w:rsidR="00BC15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151F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BC151F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BC151F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BC15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151F">
        <w:rPr>
          <w:rFonts w:ascii="Times New Roman" w:hAnsi="Times New Roman" w:cs="Times New Roman"/>
          <w:sz w:val="24"/>
          <w:szCs w:val="24"/>
          <w:lang w:val="en-GB"/>
        </w:rPr>
        <w:t>mendorong</w:t>
      </w:r>
      <w:proofErr w:type="spellEnd"/>
      <w:r w:rsidR="00BC15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151F">
        <w:rPr>
          <w:rFonts w:ascii="Times New Roman" w:hAnsi="Times New Roman" w:cs="Times New Roman"/>
          <w:sz w:val="24"/>
          <w:szCs w:val="24"/>
          <w:lang w:val="en-GB"/>
        </w:rPr>
        <w:t>perubahan</w:t>
      </w:r>
      <w:proofErr w:type="spellEnd"/>
      <w:r w:rsidR="00BC15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151F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BC151F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BC151F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BC151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seorang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hakim yang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menghegemoni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="007107C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7107CF">
        <w:rPr>
          <w:rFonts w:ascii="Times New Roman" w:hAnsi="Times New Roman" w:cs="Times New Roman"/>
          <w:sz w:val="24"/>
          <w:szCs w:val="24"/>
          <w:lang w:val="en-GB"/>
        </w:rPr>
        <w:t>keadilan</w:t>
      </w:r>
      <w:proofErr w:type="spellEnd"/>
      <w:r w:rsidR="007107CF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7107CF">
        <w:rPr>
          <w:rFonts w:ascii="Times New Roman" w:hAnsi="Times New Roman" w:cs="Times New Roman"/>
          <w:sz w:val="24"/>
          <w:szCs w:val="24"/>
          <w:lang w:val="en-GB"/>
        </w:rPr>
        <w:t>publik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. Di Amerika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Serikat</w:t>
      </w:r>
      <w:proofErr w:type="spellEnd"/>
      <w:r w:rsidR="005D6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6A7A">
        <w:rPr>
          <w:rFonts w:ascii="Times New Roman" w:hAnsi="Times New Roman" w:cs="Times New Roman"/>
          <w:sz w:val="24"/>
          <w:szCs w:val="24"/>
          <w:lang w:val="en-GB"/>
        </w:rPr>
        <w:t>contohnya</w:t>
      </w:r>
      <w:proofErr w:type="spellEnd"/>
      <w:r w:rsidR="00C535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35DC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C535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535DC">
        <w:rPr>
          <w:rFonts w:ascii="Times New Roman" w:hAnsi="Times New Roman" w:cs="Times New Roman"/>
          <w:i/>
          <w:sz w:val="24"/>
          <w:szCs w:val="24"/>
          <w:lang w:val="en-GB"/>
        </w:rPr>
        <w:t>Brown vs Board of Education</w:t>
      </w:r>
      <w:r w:rsidR="0063463F"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3"/>
      </w:r>
      <w:r w:rsidR="00C535D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C535DC">
        <w:rPr>
          <w:rFonts w:ascii="Times New Roman" w:hAnsi="Times New Roman" w:cs="Times New Roman"/>
          <w:sz w:val="24"/>
          <w:szCs w:val="24"/>
          <w:lang w:val="en-GB"/>
        </w:rPr>
        <w:t>menghapuskan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segregasi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rasial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sekolah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publik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Jim Crow (</w:t>
      </w:r>
      <w:r w:rsidR="00320029">
        <w:rPr>
          <w:rFonts w:ascii="Times New Roman" w:hAnsi="Times New Roman" w:cs="Times New Roman"/>
          <w:i/>
          <w:sz w:val="24"/>
          <w:szCs w:val="24"/>
          <w:lang w:val="en-GB"/>
        </w:rPr>
        <w:t>Jim Crow Law</w:t>
      </w:r>
      <w:r w:rsidR="00320029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BC0524"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4"/>
      </w:r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Hapusnya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Jim Crow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menginspirasi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gerakan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sipil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di Amerika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Serikat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6B2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B2AC1">
        <w:rPr>
          <w:rFonts w:ascii="Times New Roman" w:hAnsi="Times New Roman" w:cs="Times New Roman"/>
          <w:sz w:val="24"/>
          <w:szCs w:val="24"/>
          <w:lang w:val="en-GB"/>
        </w:rPr>
        <w:t>lahirnya</w:t>
      </w:r>
      <w:proofErr w:type="spellEnd"/>
      <w:r w:rsidR="006B2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B2AC1">
        <w:rPr>
          <w:rFonts w:ascii="Times New Roman" w:hAnsi="Times New Roman" w:cs="Times New Roman"/>
          <w:sz w:val="24"/>
          <w:szCs w:val="24"/>
          <w:lang w:val="en-GB"/>
        </w:rPr>
        <w:t>seorang</w:t>
      </w:r>
      <w:proofErr w:type="spellEnd"/>
      <w:r w:rsidR="006B2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B2AC1">
        <w:rPr>
          <w:rFonts w:ascii="Times New Roman" w:hAnsi="Times New Roman" w:cs="Times New Roman"/>
          <w:sz w:val="24"/>
          <w:szCs w:val="24"/>
          <w:lang w:val="en-GB"/>
        </w:rPr>
        <w:t>sosok</w:t>
      </w:r>
      <w:proofErr w:type="spellEnd"/>
      <w:r w:rsidR="006B2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Martin Luther King Jr.</w:t>
      </w:r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Di Indonesia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progresif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. Salah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satunya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berkaitan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kewarisan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adat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0029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320029">
        <w:rPr>
          <w:rFonts w:ascii="Times New Roman" w:hAnsi="Times New Roman" w:cs="Times New Roman"/>
          <w:sz w:val="24"/>
          <w:szCs w:val="24"/>
          <w:lang w:val="en-GB"/>
        </w:rPr>
        <w:t xml:space="preserve"> yang</w:t>
      </w:r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konsisten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menyamakan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hak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="007148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14804">
        <w:rPr>
          <w:rFonts w:ascii="Times New Roman" w:hAnsi="Times New Roman" w:cs="Times New Roman"/>
          <w:sz w:val="24"/>
          <w:szCs w:val="24"/>
          <w:lang w:val="en-GB"/>
        </w:rPr>
        <w:t>pria</w:t>
      </w:r>
      <w:proofErr w:type="spellEnd"/>
      <w:r w:rsidR="007148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401B7">
        <w:rPr>
          <w:rFonts w:ascii="Times New Roman" w:hAnsi="Times New Roman" w:cs="Times New Roman"/>
          <w:sz w:val="24"/>
          <w:szCs w:val="24"/>
          <w:lang w:val="en-GB"/>
        </w:rPr>
        <w:t>dan</w:t>
      </w:r>
      <w:r w:rsidR="007148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14804">
        <w:rPr>
          <w:rFonts w:ascii="Times New Roman" w:hAnsi="Times New Roman" w:cs="Times New Roman"/>
          <w:sz w:val="24"/>
          <w:szCs w:val="24"/>
          <w:lang w:val="en-GB"/>
        </w:rPr>
        <w:t>wanita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hak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B2AC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6B2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B2AC1"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1401B7">
        <w:rPr>
          <w:rFonts w:ascii="Times New Roman" w:hAnsi="Times New Roman" w:cs="Times New Roman"/>
          <w:sz w:val="24"/>
          <w:szCs w:val="24"/>
          <w:lang w:val="en-GB"/>
        </w:rPr>
        <w:t>waris</w:t>
      </w:r>
      <w:r w:rsidR="006B2AC1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6B2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B2AC1">
        <w:rPr>
          <w:rFonts w:ascii="Times New Roman" w:hAnsi="Times New Roman" w:cs="Times New Roman"/>
          <w:sz w:val="24"/>
          <w:szCs w:val="24"/>
          <w:lang w:val="en-GB"/>
        </w:rPr>
        <w:t>sesuatu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perempuan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berhak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memperoleh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warisan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7148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14804">
        <w:rPr>
          <w:rFonts w:ascii="Times New Roman" w:hAnsi="Times New Roman" w:cs="Times New Roman"/>
          <w:sz w:val="24"/>
          <w:szCs w:val="24"/>
          <w:lang w:val="en-GB"/>
        </w:rPr>
        <w:t>pria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. Oleh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sebab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dijadikan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yurisprudensi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Mahkamah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Agung 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Nomor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 3/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Yur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="001401B7">
        <w:rPr>
          <w:rFonts w:ascii="Times New Roman" w:hAnsi="Times New Roman" w:cs="Times New Roman"/>
          <w:sz w:val="24"/>
          <w:szCs w:val="24"/>
          <w:lang w:val="en-GB"/>
        </w:rPr>
        <w:t>Pdt</w:t>
      </w:r>
      <w:proofErr w:type="spellEnd"/>
      <w:r w:rsidR="001401B7">
        <w:rPr>
          <w:rFonts w:ascii="Times New Roman" w:hAnsi="Times New Roman" w:cs="Times New Roman"/>
          <w:sz w:val="24"/>
          <w:szCs w:val="24"/>
          <w:lang w:val="en-GB"/>
        </w:rPr>
        <w:t xml:space="preserve">/2018. </w:t>
      </w:r>
    </w:p>
    <w:p w14:paraId="7E5BA54B" w14:textId="46ABA40F" w:rsidR="001B0CDA" w:rsidRDefault="001401B7" w:rsidP="001B0C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</w:t>
      </w:r>
      <w:r w:rsidR="00491A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A59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601409">
        <w:rPr>
          <w:rFonts w:ascii="Times New Roman" w:hAnsi="Times New Roman" w:cs="Times New Roman"/>
          <w:sz w:val="24"/>
          <w:szCs w:val="24"/>
          <w:lang w:val="en-GB"/>
        </w:rPr>
        <w:t xml:space="preserve"> y</w:t>
      </w:r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ang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progresif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8262B4">
        <w:rPr>
          <w:rFonts w:ascii="Times New Roman" w:hAnsi="Times New Roman" w:cs="Times New Roman"/>
          <w:sz w:val="24"/>
          <w:szCs w:val="24"/>
          <w:lang w:val="en-GB"/>
        </w:rPr>
        <w:t xml:space="preserve"> MA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Nomor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1253K/Sip/1973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14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Oktober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1976 yang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mengubah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bunga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bank yang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diperjanjikan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C601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20%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dianggap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bertentangan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8262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62B4">
        <w:rPr>
          <w:rFonts w:ascii="Times New Roman" w:hAnsi="Times New Roman" w:cs="Times New Roman"/>
          <w:sz w:val="24"/>
          <w:szCs w:val="24"/>
          <w:lang w:val="en-GB"/>
        </w:rPr>
        <w:t>kemanusiaan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lastRenderedPageBreak/>
        <w:t>keadilan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Mahkamah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Agung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akhirnya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mengubah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bunga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bank yang</w:t>
      </w:r>
      <w:r w:rsidR="008262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62B4">
        <w:rPr>
          <w:rFonts w:ascii="Times New Roman" w:hAnsi="Times New Roman" w:cs="Times New Roman"/>
          <w:sz w:val="24"/>
          <w:szCs w:val="24"/>
          <w:lang w:val="en-GB"/>
        </w:rPr>
        <w:t>wajar</w:t>
      </w:r>
      <w:proofErr w:type="spellEnd"/>
      <w:r w:rsidR="008262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3DAD">
        <w:rPr>
          <w:rFonts w:ascii="Times New Roman" w:hAnsi="Times New Roman" w:cs="Times New Roman"/>
          <w:sz w:val="24"/>
          <w:szCs w:val="24"/>
          <w:lang w:val="en-GB"/>
        </w:rPr>
        <w:t>sebesar</w:t>
      </w:r>
      <w:proofErr w:type="spellEnd"/>
      <w:r w:rsidR="000E3DAD">
        <w:rPr>
          <w:rFonts w:ascii="Times New Roman" w:hAnsi="Times New Roman" w:cs="Times New Roman"/>
          <w:sz w:val="24"/>
          <w:szCs w:val="24"/>
          <w:lang w:val="en-GB"/>
        </w:rPr>
        <w:t xml:space="preserve"> 3%</w:t>
      </w:r>
      <w:r w:rsidR="000E3DAD"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5"/>
      </w:r>
      <w:r w:rsidR="000E3DA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M</w:t>
      </w:r>
      <w:r w:rsidR="008262B4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Nomor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1022 K/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Pdt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>/2006 yan</w:t>
      </w:r>
      <w:r w:rsidR="008262B4">
        <w:rPr>
          <w:rFonts w:ascii="Times New Roman" w:hAnsi="Times New Roman" w:cs="Times New Roman"/>
          <w:sz w:val="24"/>
          <w:szCs w:val="24"/>
          <w:lang w:val="en-GB"/>
        </w:rPr>
        <w:t xml:space="preserve">g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pertimbangannya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Majelis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berpendapat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perbuatan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menebang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pohon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mangga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perbuatan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melawan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berpotensi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merugikan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seseorang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pohon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ditebang</w:t>
      </w:r>
      <w:proofErr w:type="spellEnd"/>
      <w:r w:rsidR="0063463F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63463F">
        <w:rPr>
          <w:rFonts w:ascii="Times New Roman" w:hAnsi="Times New Roman" w:cs="Times New Roman"/>
          <w:sz w:val="24"/>
          <w:szCs w:val="24"/>
          <w:lang w:val="en-GB"/>
        </w:rPr>
        <w:t>pemiliknya</w:t>
      </w:r>
      <w:proofErr w:type="spellEnd"/>
      <w:r w:rsidR="0063463F"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6"/>
      </w:r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. Di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Mahkamah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Agung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menganggap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perbuatan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berpotensi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merugikan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dinyatakan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bersalah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dimintai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pertanggungjawaban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. Di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ranah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D3EDD">
        <w:rPr>
          <w:rFonts w:ascii="Times New Roman" w:hAnsi="Times New Roman" w:cs="Times New Roman"/>
          <w:sz w:val="24"/>
          <w:szCs w:val="24"/>
          <w:lang w:val="en-GB"/>
        </w:rPr>
        <w:t>pidana</w:t>
      </w:r>
      <w:proofErr w:type="spellEnd"/>
      <w:r w:rsidR="00FD3ED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progresif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juga</w:t>
      </w:r>
      <w:r w:rsidR="008262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62B4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8262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di</w:t>
      </w:r>
      <w:r w:rsidR="008262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M</w:t>
      </w:r>
      <w:r w:rsidR="008262B4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Nomor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395 K/PID/1995 yang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membebaskan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terdakwa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Muchtar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Pakpahan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. Di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pertimbangannya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Majelis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berpendapat</w:t>
      </w:r>
      <w:proofErr w:type="spellEnd"/>
      <w:r w:rsidR="008262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62B4">
        <w:rPr>
          <w:rFonts w:ascii="Times New Roman" w:hAnsi="Times New Roman" w:cs="Times New Roman"/>
          <w:sz w:val="24"/>
          <w:szCs w:val="24"/>
          <w:lang w:val="en-GB"/>
        </w:rPr>
        <w:t>perbuatan</w:t>
      </w:r>
      <w:proofErr w:type="spellEnd"/>
      <w:r w:rsidR="008262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Terdakwa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unjuk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rasa pada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14 April 1994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dikategorikan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perbuatan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menghasut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60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60D1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B60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60D10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="00B60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60D1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B60D1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60D10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9B6E22">
        <w:rPr>
          <w:rFonts w:ascii="Times New Roman" w:hAnsi="Times New Roman" w:cs="Times New Roman"/>
          <w:sz w:val="24"/>
          <w:szCs w:val="24"/>
          <w:lang w:val="en-GB"/>
        </w:rPr>
        <w:t>erubahan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kehidupan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politik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mempengaruhi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Majelis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penafsiran</w:t>
      </w:r>
      <w:proofErr w:type="spellEnd"/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E22">
        <w:rPr>
          <w:rFonts w:ascii="Times New Roman" w:hAnsi="Times New Roman" w:cs="Times New Roman"/>
          <w:sz w:val="24"/>
          <w:szCs w:val="24"/>
          <w:lang w:val="en-GB"/>
        </w:rPr>
        <w:t>terha</w:t>
      </w:r>
      <w:r w:rsidR="00C352B1">
        <w:rPr>
          <w:rFonts w:ascii="Times New Roman" w:hAnsi="Times New Roman" w:cs="Times New Roman"/>
          <w:sz w:val="24"/>
          <w:szCs w:val="24"/>
          <w:lang w:val="en-GB"/>
        </w:rPr>
        <w:t>dap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352B1">
        <w:rPr>
          <w:rFonts w:ascii="Times New Roman" w:hAnsi="Times New Roman" w:cs="Times New Roman"/>
          <w:sz w:val="24"/>
          <w:szCs w:val="24"/>
          <w:lang w:val="en-GB"/>
        </w:rPr>
        <w:t>kaidah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C352B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352B1">
        <w:rPr>
          <w:rFonts w:ascii="Times New Roman" w:hAnsi="Times New Roman" w:cs="Times New Roman"/>
          <w:sz w:val="24"/>
          <w:szCs w:val="24"/>
          <w:lang w:val="en-GB"/>
        </w:rPr>
        <w:t>undang-undang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C352B1">
        <w:rPr>
          <w:rFonts w:ascii="Times New Roman" w:hAnsi="Times New Roman" w:cs="Times New Roman"/>
          <w:sz w:val="24"/>
          <w:szCs w:val="24"/>
          <w:lang w:val="en-GB"/>
        </w:rPr>
        <w:t>Majelis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C352B1">
        <w:rPr>
          <w:rFonts w:ascii="Times New Roman" w:hAnsi="Times New Roman" w:cs="Times New Roman"/>
          <w:sz w:val="24"/>
          <w:szCs w:val="24"/>
          <w:lang w:val="en-GB"/>
        </w:rPr>
        <w:t>menilai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352B1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="00C352B1">
        <w:rPr>
          <w:rFonts w:ascii="Times New Roman" w:hAnsi="Times New Roman" w:cs="Times New Roman"/>
          <w:sz w:val="24"/>
          <w:szCs w:val="24"/>
          <w:lang w:val="en-GB"/>
        </w:rPr>
        <w:t>pembangunan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352B1">
        <w:rPr>
          <w:rFonts w:ascii="Times New Roman" w:hAnsi="Times New Roman" w:cs="Times New Roman"/>
          <w:sz w:val="24"/>
          <w:szCs w:val="24"/>
          <w:lang w:val="en-GB"/>
        </w:rPr>
        <w:t>demokrasi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352B1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="00C352B1">
        <w:rPr>
          <w:rFonts w:ascii="Times New Roman" w:hAnsi="Times New Roman" w:cs="Times New Roman"/>
          <w:sz w:val="24"/>
          <w:szCs w:val="24"/>
          <w:lang w:val="en-GB"/>
        </w:rPr>
        <w:t>kehidupan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352B1">
        <w:rPr>
          <w:rFonts w:ascii="Times New Roman" w:hAnsi="Times New Roman" w:cs="Times New Roman"/>
          <w:sz w:val="24"/>
          <w:szCs w:val="24"/>
          <w:lang w:val="en-GB"/>
        </w:rPr>
        <w:t>berbangsa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C352B1">
        <w:rPr>
          <w:rFonts w:ascii="Times New Roman" w:hAnsi="Times New Roman" w:cs="Times New Roman"/>
          <w:sz w:val="24"/>
          <w:szCs w:val="24"/>
          <w:lang w:val="en-GB"/>
        </w:rPr>
        <w:t>bernegara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352B1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352B1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352B1">
        <w:rPr>
          <w:rFonts w:ascii="Times New Roman" w:hAnsi="Times New Roman" w:cs="Times New Roman"/>
          <w:sz w:val="24"/>
          <w:szCs w:val="24"/>
          <w:lang w:val="en-GB"/>
        </w:rPr>
        <w:t>berkualitas</w:t>
      </w:r>
      <w:proofErr w:type="spellEnd"/>
      <w:r w:rsidR="00C352B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B6E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3E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250FB0B" w14:textId="6ADFF13B" w:rsidR="006610F7" w:rsidRDefault="001B0CDA" w:rsidP="00C356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instrumen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adagium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dikemukakan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Roscoe Pond</w:t>
      </w:r>
      <w:r w:rsidR="008C2A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C2ABB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8C2A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C2ABB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="008262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62B4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8C2A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C2ABB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="008C2A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C2ABB">
        <w:rPr>
          <w:rFonts w:ascii="Times New Roman" w:hAnsi="Times New Roman" w:cs="Times New Roman"/>
          <w:sz w:val="24"/>
          <w:szCs w:val="24"/>
          <w:lang w:val="en-GB"/>
        </w:rPr>
        <w:t>rekayasa</w:t>
      </w:r>
      <w:proofErr w:type="spellEnd"/>
      <w:r w:rsidR="008C2A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C2ABB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8C2ABB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8C2ABB">
        <w:rPr>
          <w:rFonts w:ascii="Times New Roman" w:hAnsi="Times New Roman" w:cs="Times New Roman"/>
          <w:i/>
          <w:sz w:val="24"/>
          <w:szCs w:val="24"/>
          <w:lang w:val="en-GB"/>
        </w:rPr>
        <w:t>law as a tool of social engineering</w:t>
      </w:r>
      <w:r w:rsidR="008C2ABB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="0068396E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6839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396E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="006839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8396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68396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262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8396E">
        <w:rPr>
          <w:rFonts w:ascii="Times New Roman" w:hAnsi="Times New Roman" w:cs="Times New Roman"/>
          <w:sz w:val="24"/>
          <w:szCs w:val="24"/>
          <w:lang w:val="en-GB"/>
        </w:rPr>
        <w:t>Po</w:t>
      </w:r>
      <w:r w:rsidR="000E6492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68396E">
        <w:rPr>
          <w:rFonts w:ascii="Times New Roman" w:hAnsi="Times New Roman" w:cs="Times New Roman"/>
          <w:sz w:val="24"/>
          <w:szCs w:val="24"/>
          <w:lang w:val="en-GB"/>
        </w:rPr>
        <w:t xml:space="preserve">nd </w:t>
      </w:r>
      <w:proofErr w:type="spellStart"/>
      <w:r w:rsidR="00D977B1">
        <w:rPr>
          <w:rFonts w:ascii="Times New Roman" w:hAnsi="Times New Roman" w:cs="Times New Roman"/>
          <w:sz w:val="24"/>
          <w:szCs w:val="24"/>
          <w:lang w:val="en-GB"/>
        </w:rPr>
        <w:t>berpandangan</w:t>
      </w:r>
      <w:proofErr w:type="spellEnd"/>
      <w:r w:rsidR="00D977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977B1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D977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977B1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D977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977B1">
        <w:rPr>
          <w:rFonts w:ascii="Times New Roman" w:hAnsi="Times New Roman" w:cs="Times New Roman"/>
          <w:sz w:val="24"/>
          <w:szCs w:val="24"/>
          <w:lang w:val="en-GB"/>
        </w:rPr>
        <w:t>pengadilan</w:t>
      </w:r>
      <w:proofErr w:type="spellEnd"/>
      <w:r w:rsidR="00D977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977B1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D977B1">
        <w:rPr>
          <w:rFonts w:ascii="Times New Roman" w:hAnsi="Times New Roman" w:cs="Times New Roman"/>
          <w:sz w:val="24"/>
          <w:szCs w:val="24"/>
          <w:lang w:val="en-GB"/>
        </w:rPr>
        <w:t xml:space="preserve"> inti </w:t>
      </w:r>
      <w:proofErr w:type="spellStart"/>
      <w:r w:rsidR="00D977B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D977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977B1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="0036170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yang mana hakim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peran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arif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bijaksana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keseimbangan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peraturan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pembentuk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undang-undang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. Oleh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sebab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Roscoe Pound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seorang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berwenang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mengubah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peraturan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apabila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rekayasa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6492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0E649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554FCF6" w14:textId="50813EDC" w:rsidR="000E6492" w:rsidRPr="000E6492" w:rsidRDefault="000E6492" w:rsidP="000E64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0E6492">
        <w:rPr>
          <w:rFonts w:ascii="Times New Roman" w:hAnsi="Times New Roman" w:cs="Times New Roman"/>
          <w:b/>
          <w:sz w:val="24"/>
          <w:szCs w:val="24"/>
          <w:lang w:val="en-GB"/>
        </w:rPr>
        <w:t>Refleksi</w:t>
      </w:r>
      <w:proofErr w:type="spellEnd"/>
      <w:r w:rsidRPr="000E649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0E6492">
        <w:rPr>
          <w:rFonts w:ascii="Times New Roman" w:hAnsi="Times New Roman" w:cs="Times New Roman"/>
          <w:b/>
          <w:sz w:val="24"/>
          <w:szCs w:val="24"/>
          <w:lang w:val="en-GB"/>
        </w:rPr>
        <w:t>Kritis</w:t>
      </w:r>
      <w:proofErr w:type="spellEnd"/>
      <w:r w:rsidRPr="000E649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0E6492">
        <w:rPr>
          <w:rFonts w:ascii="Times New Roman" w:hAnsi="Times New Roman" w:cs="Times New Roman"/>
          <w:b/>
          <w:sz w:val="24"/>
          <w:szCs w:val="24"/>
          <w:lang w:val="en-GB"/>
        </w:rPr>
        <w:t>Posisi</w:t>
      </w:r>
      <w:proofErr w:type="spellEnd"/>
      <w:r w:rsidRPr="000E649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Hakim di Indonesia</w:t>
      </w:r>
    </w:p>
    <w:p w14:paraId="03BA890E" w14:textId="77777777" w:rsidR="00271DCD" w:rsidRDefault="000E6492" w:rsidP="000E64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F04B7F">
        <w:rPr>
          <w:rFonts w:ascii="Times New Roman" w:hAnsi="Times New Roman" w:cs="Times New Roman"/>
          <w:sz w:val="24"/>
          <w:szCs w:val="24"/>
          <w:lang w:val="en-GB"/>
        </w:rPr>
        <w:t>Sebagaimana</w:t>
      </w:r>
      <w:proofErr w:type="spellEnd"/>
      <w:r w:rsidR="00F04B7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04B7F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F04B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4B7F">
        <w:rPr>
          <w:rFonts w:ascii="Times New Roman" w:hAnsi="Times New Roman" w:cs="Times New Roman"/>
          <w:sz w:val="24"/>
          <w:szCs w:val="24"/>
          <w:lang w:val="en-GB"/>
        </w:rPr>
        <w:t>dijelaskan</w:t>
      </w:r>
      <w:proofErr w:type="spellEnd"/>
      <w:r w:rsidR="00F04B7F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F04B7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F04B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4B7F">
        <w:rPr>
          <w:rFonts w:ascii="Times New Roman" w:hAnsi="Times New Roman" w:cs="Times New Roman"/>
          <w:sz w:val="24"/>
          <w:szCs w:val="24"/>
          <w:lang w:val="en-GB"/>
        </w:rPr>
        <w:t>tulisan</w:t>
      </w:r>
      <w:proofErr w:type="spellEnd"/>
      <w:r w:rsidR="00F04B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4B7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F04B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4B7F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F04B7F">
        <w:rPr>
          <w:rFonts w:ascii="Times New Roman" w:hAnsi="Times New Roman" w:cs="Times New Roman"/>
          <w:sz w:val="24"/>
          <w:szCs w:val="24"/>
          <w:lang w:val="en-GB"/>
        </w:rPr>
        <w:t xml:space="preserve"> hakim pada </w:t>
      </w:r>
      <w:proofErr w:type="spellStart"/>
      <w:r w:rsidR="00F04B7F">
        <w:rPr>
          <w:rFonts w:ascii="Times New Roman" w:hAnsi="Times New Roman" w:cs="Times New Roman"/>
          <w:sz w:val="24"/>
          <w:szCs w:val="24"/>
          <w:lang w:val="en-GB"/>
        </w:rPr>
        <w:t>prins</w:t>
      </w:r>
      <w:r w:rsidR="00AD194F">
        <w:rPr>
          <w:rFonts w:ascii="Times New Roman" w:hAnsi="Times New Roman" w:cs="Times New Roman"/>
          <w:sz w:val="24"/>
          <w:szCs w:val="24"/>
          <w:lang w:val="en-GB"/>
        </w:rPr>
        <w:t>ipnya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seharusnya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organik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perubahan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putusannya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hakim yang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seorang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D194F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Roscoe Pound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seharusnya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262B4">
        <w:rPr>
          <w:rFonts w:ascii="Times New Roman" w:hAnsi="Times New Roman" w:cs="Times New Roman"/>
          <w:sz w:val="24"/>
          <w:szCs w:val="24"/>
          <w:lang w:val="en-GB"/>
        </w:rPr>
        <w:t xml:space="preserve">instrument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rekayasan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AD194F">
        <w:rPr>
          <w:rFonts w:ascii="Times New Roman" w:hAnsi="Times New Roman" w:cs="Times New Roman"/>
          <w:i/>
          <w:sz w:val="24"/>
          <w:szCs w:val="24"/>
          <w:lang w:val="en-GB"/>
        </w:rPr>
        <w:t>law as a tool of social engineering</w:t>
      </w:r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refleksi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kritisnya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hakim di Indonesia</w:t>
      </w:r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194F">
        <w:rPr>
          <w:rFonts w:ascii="Times New Roman" w:hAnsi="Times New Roman" w:cs="Times New Roman"/>
          <w:sz w:val="24"/>
          <w:szCs w:val="24"/>
          <w:lang w:val="en-GB"/>
        </w:rPr>
        <w:t>melahir</w:t>
      </w:r>
      <w:r w:rsidR="00D32079">
        <w:rPr>
          <w:rFonts w:ascii="Times New Roman" w:hAnsi="Times New Roman" w:cs="Times New Roman"/>
          <w:sz w:val="24"/>
          <w:szCs w:val="24"/>
          <w:lang w:val="en-GB"/>
        </w:rPr>
        <w:t>kan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mendorong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perubahan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hakim di Indonesia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="00805A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5A9D">
        <w:rPr>
          <w:rFonts w:ascii="Times New Roman" w:hAnsi="Times New Roman" w:cs="Times New Roman"/>
          <w:sz w:val="24"/>
          <w:szCs w:val="24"/>
          <w:lang w:val="en-GB"/>
        </w:rPr>
        <w:t>sulit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melahirkan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berkualitas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. Hakim di Indonesia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dibebani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tugas-tugas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administratif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kaitannya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profesi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memeriksa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perkara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ekosistem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pengadilan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mirip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kantor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pemerintah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” yang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sibuk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urusan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birokrasi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diskusi-diskusi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progresif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hakim di Indonesia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terlihat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petugas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pemerintah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daripada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seorang</w:t>
      </w:r>
      <w:proofErr w:type="spellEnd"/>
      <w:r w:rsidR="00D320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2079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EE6D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E6DA1">
        <w:rPr>
          <w:rFonts w:ascii="Times New Roman" w:hAnsi="Times New Roman" w:cs="Times New Roman"/>
          <w:sz w:val="24"/>
          <w:szCs w:val="24"/>
          <w:lang w:val="en-GB"/>
        </w:rPr>
        <w:t>organik</w:t>
      </w:r>
      <w:proofErr w:type="spellEnd"/>
      <w:r w:rsidR="00EE6DA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B48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4829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CB482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CB4829">
        <w:rPr>
          <w:rFonts w:ascii="Times New Roman" w:hAnsi="Times New Roman" w:cs="Times New Roman"/>
          <w:sz w:val="24"/>
          <w:szCs w:val="24"/>
          <w:lang w:val="en-GB"/>
        </w:rPr>
        <w:t>dihasilkan</w:t>
      </w:r>
      <w:proofErr w:type="spellEnd"/>
      <w:r w:rsidR="00CB48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4829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="00CB48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4829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="00CB4829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 w:rsidR="00CB4829">
        <w:rPr>
          <w:rFonts w:ascii="Times New Roman" w:hAnsi="Times New Roman" w:cs="Times New Roman"/>
          <w:sz w:val="24"/>
          <w:szCs w:val="24"/>
          <w:lang w:val="en-GB"/>
        </w:rPr>
        <w:t>kering</w:t>
      </w:r>
      <w:proofErr w:type="spellEnd"/>
      <w:r w:rsidR="00CB4829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 w:rsidR="00CB4829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CB48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4829">
        <w:rPr>
          <w:rFonts w:ascii="Times New Roman" w:hAnsi="Times New Roman" w:cs="Times New Roman"/>
          <w:sz w:val="24"/>
          <w:szCs w:val="24"/>
          <w:lang w:val="en-GB"/>
        </w:rPr>
        <w:t>pertimbangan-pertimbangan</w:t>
      </w:r>
      <w:proofErr w:type="spellEnd"/>
      <w:r w:rsidR="00CB482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CB4829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CB48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4829">
        <w:rPr>
          <w:rFonts w:ascii="Times New Roman" w:hAnsi="Times New Roman" w:cs="Times New Roman"/>
          <w:sz w:val="24"/>
          <w:szCs w:val="24"/>
          <w:lang w:val="en-GB"/>
        </w:rPr>
        <w:t>mencerahkan</w:t>
      </w:r>
      <w:proofErr w:type="spellEnd"/>
      <w:r w:rsidR="00CB482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CB4829">
        <w:rPr>
          <w:rFonts w:ascii="Times New Roman" w:hAnsi="Times New Roman" w:cs="Times New Roman"/>
          <w:sz w:val="24"/>
          <w:szCs w:val="24"/>
          <w:lang w:val="en-GB"/>
        </w:rPr>
        <w:t>menggerakan</w:t>
      </w:r>
      <w:proofErr w:type="spellEnd"/>
      <w:r w:rsidR="00CB48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4829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CB482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42E3E27" w14:textId="79D33BA7" w:rsidR="00EE6DA1" w:rsidRDefault="00271DCD" w:rsidP="000E64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kaitannya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244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26829">
        <w:rPr>
          <w:rFonts w:ascii="Times New Roman" w:hAnsi="Times New Roman" w:cs="Times New Roman"/>
          <w:sz w:val="24"/>
          <w:szCs w:val="24"/>
          <w:lang w:val="en-GB"/>
        </w:rPr>
        <w:t>ekosistem</w:t>
      </w:r>
      <w:proofErr w:type="spellEnd"/>
      <w:r w:rsidR="004268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26829">
        <w:rPr>
          <w:rFonts w:ascii="Times New Roman" w:hAnsi="Times New Roman" w:cs="Times New Roman"/>
          <w:sz w:val="24"/>
          <w:szCs w:val="24"/>
          <w:lang w:val="en-GB"/>
        </w:rPr>
        <w:t>pengadilan</w:t>
      </w:r>
      <w:proofErr w:type="spellEnd"/>
      <w:r w:rsidR="004268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26829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4268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26829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F853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536D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F853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536D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="00F853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26829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4268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26829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="00F8536D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F8536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F853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536D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="00F853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536D">
        <w:rPr>
          <w:rFonts w:ascii="Times New Roman" w:hAnsi="Times New Roman" w:cs="Times New Roman"/>
          <w:sz w:val="24"/>
          <w:szCs w:val="24"/>
          <w:lang w:val="en-GB"/>
        </w:rPr>
        <w:t>profesionalitasnya</w:t>
      </w:r>
      <w:proofErr w:type="spellEnd"/>
      <w:r w:rsidR="00F8536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8536D">
        <w:rPr>
          <w:rFonts w:ascii="Times New Roman" w:hAnsi="Times New Roman" w:cs="Times New Roman"/>
          <w:sz w:val="24"/>
          <w:szCs w:val="24"/>
          <w:lang w:val="en-GB"/>
        </w:rPr>
        <w:t>Terjebaknya</w:t>
      </w:r>
      <w:proofErr w:type="spellEnd"/>
      <w:r w:rsidR="00F8536D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F8536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F853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536D">
        <w:rPr>
          <w:rFonts w:ascii="Times New Roman" w:hAnsi="Times New Roman" w:cs="Times New Roman"/>
          <w:sz w:val="24"/>
          <w:szCs w:val="24"/>
          <w:lang w:val="en-GB"/>
        </w:rPr>
        <w:t>pekerjaan</w:t>
      </w:r>
      <w:proofErr w:type="spellEnd"/>
      <w:r w:rsidR="00F853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536D">
        <w:rPr>
          <w:rFonts w:ascii="Times New Roman" w:hAnsi="Times New Roman" w:cs="Times New Roman"/>
          <w:sz w:val="24"/>
          <w:szCs w:val="24"/>
          <w:lang w:val="en-GB"/>
        </w:rPr>
        <w:t>birokr</w:t>
      </w:r>
      <w:r w:rsidR="00A910E8">
        <w:rPr>
          <w:rFonts w:ascii="Times New Roman" w:hAnsi="Times New Roman" w:cs="Times New Roman"/>
          <w:sz w:val="24"/>
          <w:szCs w:val="24"/>
          <w:lang w:val="en-GB"/>
        </w:rPr>
        <w:t>atis</w:t>
      </w:r>
      <w:proofErr w:type="spellEnd"/>
      <w:r w:rsidR="00F853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536D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F8536D">
        <w:rPr>
          <w:rFonts w:ascii="Times New Roman" w:hAnsi="Times New Roman" w:cs="Times New Roman"/>
          <w:sz w:val="24"/>
          <w:szCs w:val="24"/>
          <w:lang w:val="en-GB"/>
        </w:rPr>
        <w:t xml:space="preserve"> Zona </w:t>
      </w:r>
      <w:proofErr w:type="spellStart"/>
      <w:r w:rsidR="00F8536D">
        <w:rPr>
          <w:rFonts w:ascii="Times New Roman" w:hAnsi="Times New Roman" w:cs="Times New Roman"/>
          <w:sz w:val="24"/>
          <w:szCs w:val="24"/>
          <w:lang w:val="en-GB"/>
        </w:rPr>
        <w:t>Integritas</w:t>
      </w:r>
      <w:proofErr w:type="spellEnd"/>
      <w:r w:rsidR="00F8536D">
        <w:rPr>
          <w:rFonts w:ascii="Times New Roman" w:hAnsi="Times New Roman" w:cs="Times New Roman"/>
          <w:sz w:val="24"/>
          <w:szCs w:val="24"/>
          <w:lang w:val="en-GB"/>
        </w:rPr>
        <w:t xml:space="preserve"> dan AMPUH </w:t>
      </w:r>
      <w:proofErr w:type="spellStart"/>
      <w:r w:rsidR="00F8536D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="00F8536D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lupa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hakikatnya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intelektual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organisasi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pengadilan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Seharusnya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didorong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berdiskusi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penerapan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memperkaya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khazanah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memutus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perkara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putusan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hakim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berkualitas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dijadikan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rujukan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oleh NGO,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akademisi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A910E8">
        <w:rPr>
          <w:rFonts w:ascii="Times New Roman" w:hAnsi="Times New Roman" w:cs="Times New Roman"/>
          <w:sz w:val="24"/>
          <w:szCs w:val="24"/>
          <w:lang w:val="en-GB"/>
        </w:rPr>
        <w:t>umumnya</w:t>
      </w:r>
      <w:proofErr w:type="spellEnd"/>
      <w:r w:rsidR="00A910E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8536D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09556434" w14:textId="72474BA7" w:rsidR="000E6492" w:rsidRPr="008C2ABB" w:rsidRDefault="00D32079" w:rsidP="000E64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AD194F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2EEDCE42" w14:textId="77777777" w:rsidR="00B60D10" w:rsidRPr="00C535DC" w:rsidRDefault="00B60D10" w:rsidP="00B60D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AE47D70" w14:textId="5B5DDC11" w:rsidR="00A57614" w:rsidRPr="00A57614" w:rsidRDefault="00AA794B" w:rsidP="00AA79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A4E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167922F" w14:textId="321E536F" w:rsidR="00C4742B" w:rsidRPr="00A57614" w:rsidRDefault="00702EC2" w:rsidP="00A57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576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1A73AC1" w14:textId="77777777" w:rsidR="00C4742B" w:rsidRPr="00A57614" w:rsidRDefault="00C4742B" w:rsidP="00A57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7DBFEF2" w14:textId="77777777" w:rsidR="000D4DE5" w:rsidRPr="00A57614" w:rsidRDefault="000D4DE5" w:rsidP="00A57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FAB682C" w14:textId="5DC83FD1" w:rsidR="00006469" w:rsidRPr="00A57614" w:rsidRDefault="00006469" w:rsidP="00A57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6451AFA" w14:textId="77777777" w:rsidR="00006469" w:rsidRPr="00A57614" w:rsidRDefault="00006469" w:rsidP="00A57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006469" w:rsidRPr="00A5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93147" w14:textId="77777777" w:rsidR="00CE31A5" w:rsidRDefault="00CE31A5" w:rsidP="00491A59">
      <w:pPr>
        <w:spacing w:after="0" w:line="240" w:lineRule="auto"/>
      </w:pPr>
      <w:r>
        <w:separator/>
      </w:r>
    </w:p>
  </w:endnote>
  <w:endnote w:type="continuationSeparator" w:id="0">
    <w:p w14:paraId="4CCCE4BD" w14:textId="77777777" w:rsidR="00CE31A5" w:rsidRDefault="00CE31A5" w:rsidP="0049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1E223" w14:textId="77777777" w:rsidR="00CE31A5" w:rsidRDefault="00CE31A5" w:rsidP="00491A59">
      <w:pPr>
        <w:spacing w:after="0" w:line="240" w:lineRule="auto"/>
      </w:pPr>
      <w:r>
        <w:separator/>
      </w:r>
    </w:p>
  </w:footnote>
  <w:footnote w:type="continuationSeparator" w:id="0">
    <w:p w14:paraId="5D84A7C8" w14:textId="77777777" w:rsidR="00CE31A5" w:rsidRDefault="00CE31A5" w:rsidP="00491A59">
      <w:pPr>
        <w:spacing w:after="0" w:line="240" w:lineRule="auto"/>
      </w:pPr>
      <w:r>
        <w:continuationSeparator/>
      </w:r>
    </w:p>
  </w:footnote>
  <w:footnote w:id="1">
    <w:p w14:paraId="629A9F4F" w14:textId="501187B5" w:rsidR="00C35640" w:rsidRPr="00C35640" w:rsidRDefault="00C35640" w:rsidP="00C35640">
      <w:pPr>
        <w:pStyle w:val="NormalWeb"/>
        <w:ind w:left="567" w:hanging="567"/>
        <w:jc w:val="both"/>
        <w:rPr>
          <w:sz w:val="20"/>
        </w:rPr>
      </w:pPr>
      <w:r w:rsidRPr="00C35640">
        <w:rPr>
          <w:rStyle w:val="FootnoteReference"/>
          <w:sz w:val="20"/>
        </w:rPr>
        <w:footnoteRef/>
      </w:r>
      <w:r w:rsidR="00A21A06">
        <w:rPr>
          <w:sz w:val="20"/>
        </w:rPr>
        <w:t xml:space="preserve"> </w:t>
      </w:r>
      <w:r w:rsidRPr="00C35640">
        <w:rPr>
          <w:sz w:val="20"/>
        </w:rPr>
        <w:t>E. Siswati, “</w:t>
      </w:r>
      <w:proofErr w:type="spellStart"/>
      <w:r w:rsidRPr="00C35640">
        <w:rPr>
          <w:sz w:val="20"/>
        </w:rPr>
        <w:t>Anatomi</w:t>
      </w:r>
      <w:proofErr w:type="spellEnd"/>
      <w:r w:rsidRPr="00C35640">
        <w:rPr>
          <w:sz w:val="20"/>
        </w:rPr>
        <w:t xml:space="preserve"> </w:t>
      </w:r>
      <w:proofErr w:type="spellStart"/>
      <w:r w:rsidRPr="00C35640">
        <w:rPr>
          <w:sz w:val="20"/>
        </w:rPr>
        <w:t>Teori</w:t>
      </w:r>
      <w:proofErr w:type="spellEnd"/>
      <w:r w:rsidRPr="00C35640">
        <w:rPr>
          <w:sz w:val="20"/>
        </w:rPr>
        <w:t xml:space="preserve"> </w:t>
      </w:r>
      <w:proofErr w:type="spellStart"/>
      <w:r w:rsidRPr="00C35640">
        <w:rPr>
          <w:sz w:val="20"/>
        </w:rPr>
        <w:t>hegemoni</w:t>
      </w:r>
      <w:proofErr w:type="spellEnd"/>
      <w:r w:rsidRPr="00C35640">
        <w:rPr>
          <w:sz w:val="20"/>
        </w:rPr>
        <w:t xml:space="preserve"> Antonio Gramsci,” </w:t>
      </w:r>
      <w:proofErr w:type="spellStart"/>
      <w:r w:rsidRPr="00C35640">
        <w:rPr>
          <w:i/>
          <w:iCs/>
          <w:sz w:val="20"/>
        </w:rPr>
        <w:t>Translitera</w:t>
      </w:r>
      <w:proofErr w:type="spellEnd"/>
      <w:r w:rsidRPr="00C35640">
        <w:rPr>
          <w:i/>
          <w:iCs/>
          <w:sz w:val="20"/>
        </w:rPr>
        <w:t xml:space="preserve">: </w:t>
      </w:r>
      <w:proofErr w:type="spellStart"/>
      <w:r w:rsidRPr="00C35640">
        <w:rPr>
          <w:i/>
          <w:iCs/>
          <w:sz w:val="20"/>
        </w:rPr>
        <w:t>Jurnal</w:t>
      </w:r>
      <w:proofErr w:type="spellEnd"/>
      <w:r w:rsidRPr="00C35640">
        <w:rPr>
          <w:i/>
          <w:iCs/>
          <w:sz w:val="20"/>
        </w:rPr>
        <w:t xml:space="preserve"> Kajian </w:t>
      </w:r>
      <w:proofErr w:type="spellStart"/>
      <w:r w:rsidRPr="00C35640">
        <w:rPr>
          <w:i/>
          <w:iCs/>
          <w:sz w:val="20"/>
        </w:rPr>
        <w:t>Komunikasi</w:t>
      </w:r>
      <w:proofErr w:type="spellEnd"/>
      <w:r w:rsidRPr="00C35640">
        <w:rPr>
          <w:i/>
          <w:iCs/>
          <w:sz w:val="20"/>
        </w:rPr>
        <w:t xml:space="preserve"> dan </w:t>
      </w:r>
      <w:proofErr w:type="spellStart"/>
      <w:r w:rsidRPr="00C35640">
        <w:rPr>
          <w:i/>
          <w:iCs/>
          <w:sz w:val="20"/>
        </w:rPr>
        <w:t>Studi</w:t>
      </w:r>
      <w:proofErr w:type="spellEnd"/>
      <w:r w:rsidRPr="00C35640">
        <w:rPr>
          <w:i/>
          <w:iCs/>
          <w:sz w:val="20"/>
        </w:rPr>
        <w:t xml:space="preserve"> Media</w:t>
      </w:r>
      <w:r w:rsidRPr="00C35640">
        <w:rPr>
          <w:sz w:val="20"/>
        </w:rPr>
        <w:t xml:space="preserve">, vol. 5, no. 1, pp. 11–33, Mar. 2018.  </w:t>
      </w:r>
    </w:p>
    <w:p w14:paraId="52B48755" w14:textId="2F8B683E" w:rsidR="00C35640" w:rsidRPr="00C35640" w:rsidRDefault="00C35640">
      <w:pPr>
        <w:pStyle w:val="FootnoteText"/>
        <w:rPr>
          <w:lang w:val="en-GB"/>
        </w:rPr>
      </w:pPr>
    </w:p>
  </w:footnote>
  <w:footnote w:id="2">
    <w:p w14:paraId="3FBEA182" w14:textId="31F64714" w:rsidR="00491A59" w:rsidRPr="006610F7" w:rsidRDefault="00491A59" w:rsidP="006610F7">
      <w:pPr>
        <w:pStyle w:val="NormalWeb"/>
        <w:ind w:left="567" w:hanging="567"/>
        <w:jc w:val="both"/>
        <w:rPr>
          <w:sz w:val="20"/>
          <w:szCs w:val="20"/>
        </w:rPr>
      </w:pPr>
      <w:r w:rsidRPr="006610F7">
        <w:rPr>
          <w:rStyle w:val="FootnoteReference"/>
          <w:sz w:val="20"/>
          <w:szCs w:val="20"/>
        </w:rPr>
        <w:footnoteRef/>
      </w:r>
      <w:r w:rsidR="00A21A06">
        <w:rPr>
          <w:sz w:val="20"/>
          <w:szCs w:val="20"/>
        </w:rPr>
        <w:t xml:space="preserve"> </w:t>
      </w:r>
      <w:r w:rsidR="0068478F" w:rsidRPr="006610F7">
        <w:rPr>
          <w:sz w:val="20"/>
          <w:szCs w:val="20"/>
        </w:rPr>
        <w:t>S. Maulana, “</w:t>
      </w:r>
      <w:proofErr w:type="spellStart"/>
      <w:r w:rsidR="0068478F" w:rsidRPr="006610F7">
        <w:rPr>
          <w:sz w:val="20"/>
          <w:szCs w:val="20"/>
        </w:rPr>
        <w:t>Ruang</w:t>
      </w:r>
      <w:proofErr w:type="spellEnd"/>
      <w:r w:rsidR="0068478F" w:rsidRPr="006610F7">
        <w:rPr>
          <w:sz w:val="20"/>
          <w:szCs w:val="20"/>
        </w:rPr>
        <w:t xml:space="preserve"> </w:t>
      </w:r>
      <w:proofErr w:type="spellStart"/>
      <w:r w:rsidR="0068478F" w:rsidRPr="006610F7">
        <w:rPr>
          <w:sz w:val="20"/>
          <w:szCs w:val="20"/>
        </w:rPr>
        <w:t>Publik</w:t>
      </w:r>
      <w:proofErr w:type="spellEnd"/>
      <w:r w:rsidR="0068478F" w:rsidRPr="006610F7">
        <w:rPr>
          <w:sz w:val="20"/>
          <w:szCs w:val="20"/>
        </w:rPr>
        <w:t xml:space="preserve"> Dan </w:t>
      </w:r>
      <w:proofErr w:type="spellStart"/>
      <w:r w:rsidR="0068478F" w:rsidRPr="006610F7">
        <w:rPr>
          <w:sz w:val="20"/>
          <w:szCs w:val="20"/>
        </w:rPr>
        <w:t>Intelektual</w:t>
      </w:r>
      <w:proofErr w:type="spellEnd"/>
      <w:r w:rsidR="0068478F" w:rsidRPr="006610F7">
        <w:rPr>
          <w:sz w:val="20"/>
          <w:szCs w:val="20"/>
        </w:rPr>
        <w:t xml:space="preserve"> </w:t>
      </w:r>
      <w:proofErr w:type="spellStart"/>
      <w:r w:rsidR="0068478F" w:rsidRPr="006610F7">
        <w:rPr>
          <w:sz w:val="20"/>
          <w:szCs w:val="20"/>
        </w:rPr>
        <w:t>organik</w:t>
      </w:r>
      <w:proofErr w:type="spellEnd"/>
      <w:r w:rsidR="0068478F" w:rsidRPr="006610F7">
        <w:rPr>
          <w:sz w:val="20"/>
          <w:szCs w:val="20"/>
        </w:rPr>
        <w:t xml:space="preserve">,” </w:t>
      </w:r>
      <w:proofErr w:type="spellStart"/>
      <w:r w:rsidR="0068478F" w:rsidRPr="006610F7">
        <w:rPr>
          <w:i/>
          <w:iCs/>
          <w:sz w:val="20"/>
          <w:szCs w:val="20"/>
        </w:rPr>
        <w:t>Jurnal</w:t>
      </w:r>
      <w:proofErr w:type="spellEnd"/>
      <w:r w:rsidR="0068478F" w:rsidRPr="006610F7">
        <w:rPr>
          <w:i/>
          <w:iCs/>
          <w:sz w:val="20"/>
          <w:szCs w:val="20"/>
        </w:rPr>
        <w:t xml:space="preserve"> ILMU KOMUNIKASI</w:t>
      </w:r>
      <w:r w:rsidR="0068478F" w:rsidRPr="006610F7">
        <w:rPr>
          <w:sz w:val="20"/>
          <w:szCs w:val="20"/>
        </w:rPr>
        <w:t>, vol. 12, no. 1, Jun. 2015.</w:t>
      </w:r>
    </w:p>
  </w:footnote>
  <w:footnote w:id="3">
    <w:p w14:paraId="3076B516" w14:textId="6913FE63" w:rsidR="0063463F" w:rsidRPr="006610F7" w:rsidRDefault="0063463F" w:rsidP="006610F7">
      <w:pPr>
        <w:pStyle w:val="NormalWeb"/>
        <w:ind w:left="567" w:hanging="567"/>
        <w:rPr>
          <w:sz w:val="20"/>
          <w:szCs w:val="20"/>
        </w:rPr>
      </w:pPr>
      <w:r w:rsidRPr="006610F7">
        <w:rPr>
          <w:rStyle w:val="FootnoteReference"/>
          <w:sz w:val="20"/>
          <w:szCs w:val="20"/>
        </w:rPr>
        <w:footnoteRef/>
      </w:r>
      <w:r w:rsidRPr="006610F7">
        <w:rPr>
          <w:sz w:val="20"/>
          <w:szCs w:val="20"/>
        </w:rPr>
        <w:t xml:space="preserve"> </w:t>
      </w:r>
      <w:r w:rsidR="006610F7">
        <w:rPr>
          <w:sz w:val="20"/>
          <w:szCs w:val="20"/>
        </w:rPr>
        <w:t xml:space="preserve"> </w:t>
      </w:r>
      <w:r w:rsidR="006610F7" w:rsidRPr="006610F7">
        <w:rPr>
          <w:sz w:val="20"/>
          <w:szCs w:val="20"/>
        </w:rPr>
        <w:t xml:space="preserve">“Brown v. Board of Education,” </w:t>
      </w:r>
      <w:proofErr w:type="spellStart"/>
      <w:r w:rsidR="006610F7" w:rsidRPr="006610F7">
        <w:rPr>
          <w:sz w:val="20"/>
          <w:szCs w:val="20"/>
        </w:rPr>
        <w:t>Encyclo</w:t>
      </w:r>
      <w:r w:rsidR="006610F7">
        <w:rPr>
          <w:sz w:val="20"/>
          <w:szCs w:val="20"/>
        </w:rPr>
        <w:t>pe</w:t>
      </w:r>
      <w:r w:rsidR="006610F7" w:rsidRPr="006610F7">
        <w:rPr>
          <w:sz w:val="20"/>
          <w:szCs w:val="20"/>
        </w:rPr>
        <w:t>dia</w:t>
      </w:r>
      <w:proofErr w:type="spellEnd"/>
      <w:r w:rsidR="006610F7">
        <w:rPr>
          <w:sz w:val="20"/>
          <w:szCs w:val="20"/>
        </w:rPr>
        <w:t xml:space="preserve"> </w:t>
      </w:r>
      <w:r w:rsidR="006610F7" w:rsidRPr="006610F7">
        <w:rPr>
          <w:sz w:val="20"/>
          <w:szCs w:val="20"/>
        </w:rPr>
        <w:t xml:space="preserve">Britannica, https://www.britannica.com/event/Brown-v-Board-of-Education-of-Topeka (accessed Nov. 16, 2024). </w:t>
      </w:r>
    </w:p>
  </w:footnote>
  <w:footnote w:id="4">
    <w:p w14:paraId="6F4624F1" w14:textId="5A7F4AE0" w:rsidR="006610F7" w:rsidRPr="006610F7" w:rsidRDefault="00BC0524" w:rsidP="006610F7">
      <w:pPr>
        <w:pStyle w:val="NormalWeb"/>
        <w:ind w:left="567" w:hanging="567"/>
        <w:rPr>
          <w:sz w:val="20"/>
          <w:szCs w:val="20"/>
        </w:rPr>
      </w:pPr>
      <w:r w:rsidRPr="006610F7">
        <w:rPr>
          <w:rStyle w:val="FootnoteReference"/>
          <w:sz w:val="20"/>
          <w:szCs w:val="20"/>
        </w:rPr>
        <w:footnoteRef/>
      </w:r>
      <w:r w:rsidRPr="006610F7">
        <w:rPr>
          <w:sz w:val="20"/>
          <w:szCs w:val="20"/>
        </w:rPr>
        <w:t xml:space="preserve"> </w:t>
      </w:r>
      <w:r w:rsidR="006610F7" w:rsidRPr="006610F7">
        <w:rPr>
          <w:sz w:val="20"/>
          <w:szCs w:val="20"/>
        </w:rPr>
        <w:t xml:space="preserve">“Jim Crow law,” </w:t>
      </w:r>
      <w:proofErr w:type="spellStart"/>
      <w:r w:rsidR="006610F7" w:rsidRPr="006610F7">
        <w:rPr>
          <w:sz w:val="20"/>
          <w:szCs w:val="20"/>
        </w:rPr>
        <w:t>Encyclop</w:t>
      </w:r>
      <w:r w:rsidR="006610F7">
        <w:rPr>
          <w:sz w:val="20"/>
          <w:szCs w:val="20"/>
        </w:rPr>
        <w:t>e</w:t>
      </w:r>
      <w:r w:rsidR="006610F7" w:rsidRPr="006610F7">
        <w:rPr>
          <w:sz w:val="20"/>
          <w:szCs w:val="20"/>
        </w:rPr>
        <w:t>dia</w:t>
      </w:r>
      <w:proofErr w:type="spellEnd"/>
      <w:r w:rsidR="006610F7" w:rsidRPr="006610F7">
        <w:rPr>
          <w:sz w:val="20"/>
          <w:szCs w:val="20"/>
        </w:rPr>
        <w:t xml:space="preserve"> Britannica, https://www.britannica.com/event/Jim-Crow-law (accessed Nov. 16, 2024). </w:t>
      </w:r>
    </w:p>
    <w:p w14:paraId="3E5D797A" w14:textId="7FBC0493" w:rsidR="00BC0524" w:rsidRPr="00BC0524" w:rsidRDefault="00BC0524" w:rsidP="0063463F">
      <w:pPr>
        <w:pStyle w:val="FootnoteText"/>
        <w:spacing w:line="360" w:lineRule="auto"/>
        <w:ind w:firstLine="720"/>
        <w:jc w:val="both"/>
        <w:rPr>
          <w:rFonts w:ascii="Times New Roman" w:hAnsi="Times New Roman" w:cs="Times New Roman"/>
          <w:lang w:val="en-GB"/>
        </w:rPr>
      </w:pPr>
    </w:p>
  </w:footnote>
  <w:footnote w:id="5">
    <w:p w14:paraId="1DEC52D2" w14:textId="7BCCCEB3" w:rsidR="000E3DAD" w:rsidRPr="006610F7" w:rsidRDefault="000E3DAD" w:rsidP="00887F65">
      <w:pPr>
        <w:pStyle w:val="NormalWeb"/>
        <w:ind w:left="567" w:hanging="567"/>
        <w:jc w:val="both"/>
        <w:rPr>
          <w:sz w:val="20"/>
          <w:szCs w:val="20"/>
        </w:rPr>
      </w:pPr>
      <w:r w:rsidRPr="006610F7">
        <w:rPr>
          <w:rStyle w:val="FootnoteReference"/>
          <w:sz w:val="20"/>
          <w:szCs w:val="20"/>
        </w:rPr>
        <w:footnoteRef/>
      </w:r>
      <w:r w:rsidRPr="006610F7">
        <w:rPr>
          <w:sz w:val="20"/>
          <w:szCs w:val="20"/>
        </w:rPr>
        <w:t xml:space="preserve"> </w:t>
      </w:r>
      <w:r w:rsidR="006610F7" w:rsidRPr="006610F7">
        <w:rPr>
          <w:sz w:val="20"/>
          <w:szCs w:val="20"/>
        </w:rPr>
        <w:t xml:space="preserve">M. </w:t>
      </w:r>
      <w:proofErr w:type="spellStart"/>
      <w:r w:rsidR="006610F7" w:rsidRPr="006610F7">
        <w:rPr>
          <w:sz w:val="20"/>
          <w:szCs w:val="20"/>
        </w:rPr>
        <w:t>Hidayat</w:t>
      </w:r>
      <w:proofErr w:type="spellEnd"/>
      <w:r w:rsidR="006610F7" w:rsidRPr="006610F7">
        <w:rPr>
          <w:sz w:val="20"/>
          <w:szCs w:val="20"/>
        </w:rPr>
        <w:t>, “</w:t>
      </w:r>
      <w:proofErr w:type="spellStart"/>
      <w:r w:rsidR="006610F7" w:rsidRPr="006610F7">
        <w:rPr>
          <w:sz w:val="20"/>
          <w:szCs w:val="20"/>
        </w:rPr>
        <w:t>Hukum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Perdata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Progresif</w:t>
      </w:r>
      <w:proofErr w:type="spellEnd"/>
      <w:r w:rsidR="006610F7" w:rsidRPr="006610F7">
        <w:rPr>
          <w:sz w:val="20"/>
          <w:szCs w:val="20"/>
        </w:rPr>
        <w:t xml:space="preserve">: </w:t>
      </w:r>
      <w:proofErr w:type="spellStart"/>
      <w:r w:rsidR="006610F7" w:rsidRPr="006610F7">
        <w:rPr>
          <w:sz w:val="20"/>
          <w:szCs w:val="20"/>
        </w:rPr>
        <w:t>Perubahan</w:t>
      </w:r>
      <w:proofErr w:type="spellEnd"/>
      <w:r w:rsidR="006610F7" w:rsidRPr="006610F7">
        <w:rPr>
          <w:sz w:val="20"/>
          <w:szCs w:val="20"/>
        </w:rPr>
        <w:t xml:space="preserve"> Dan </w:t>
      </w:r>
      <w:proofErr w:type="spellStart"/>
      <w:r w:rsidR="006610F7" w:rsidRPr="006610F7">
        <w:rPr>
          <w:sz w:val="20"/>
          <w:szCs w:val="20"/>
        </w:rPr>
        <w:t>Kesinambungan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Penemuan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Hukum</w:t>
      </w:r>
      <w:proofErr w:type="spellEnd"/>
      <w:r w:rsidR="006610F7" w:rsidRPr="006610F7">
        <w:rPr>
          <w:sz w:val="20"/>
          <w:szCs w:val="20"/>
        </w:rPr>
        <w:t xml:space="preserve"> di </w:t>
      </w:r>
      <w:proofErr w:type="spellStart"/>
      <w:r w:rsidR="006610F7" w:rsidRPr="006610F7">
        <w:rPr>
          <w:sz w:val="20"/>
          <w:szCs w:val="20"/>
        </w:rPr>
        <w:t>Bidang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Hukum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Perdata</w:t>
      </w:r>
      <w:proofErr w:type="spellEnd"/>
      <w:r w:rsidR="006610F7" w:rsidRPr="006610F7">
        <w:rPr>
          <w:sz w:val="20"/>
          <w:szCs w:val="20"/>
        </w:rPr>
        <w:t xml:space="preserve">,” </w:t>
      </w:r>
      <w:proofErr w:type="spellStart"/>
      <w:r w:rsidR="006610F7" w:rsidRPr="006610F7">
        <w:rPr>
          <w:i/>
          <w:iCs/>
          <w:sz w:val="20"/>
          <w:szCs w:val="20"/>
        </w:rPr>
        <w:t>Jurnal</w:t>
      </w:r>
      <w:proofErr w:type="spellEnd"/>
      <w:r w:rsidR="006610F7" w:rsidRPr="006610F7">
        <w:rPr>
          <w:i/>
          <w:iCs/>
          <w:sz w:val="20"/>
          <w:szCs w:val="20"/>
        </w:rPr>
        <w:t xml:space="preserve"> </w:t>
      </w:r>
      <w:proofErr w:type="spellStart"/>
      <w:r w:rsidR="006610F7" w:rsidRPr="006610F7">
        <w:rPr>
          <w:i/>
          <w:iCs/>
          <w:sz w:val="20"/>
          <w:szCs w:val="20"/>
        </w:rPr>
        <w:t>Hukum</w:t>
      </w:r>
      <w:proofErr w:type="spellEnd"/>
      <w:r w:rsidR="006610F7" w:rsidRPr="006610F7">
        <w:rPr>
          <w:i/>
          <w:iCs/>
          <w:sz w:val="20"/>
          <w:szCs w:val="20"/>
        </w:rPr>
        <w:t xml:space="preserve"> dan </w:t>
      </w:r>
      <w:proofErr w:type="spellStart"/>
      <w:r w:rsidR="006610F7" w:rsidRPr="006610F7">
        <w:rPr>
          <w:i/>
          <w:iCs/>
          <w:sz w:val="20"/>
          <w:szCs w:val="20"/>
        </w:rPr>
        <w:t>Peradilan</w:t>
      </w:r>
      <w:proofErr w:type="spellEnd"/>
      <w:r w:rsidR="006610F7" w:rsidRPr="006610F7">
        <w:rPr>
          <w:sz w:val="20"/>
          <w:szCs w:val="20"/>
        </w:rPr>
        <w:t xml:space="preserve">, vol. 3, no. 3, p. 269, Nov. 2014. doi:10.25216/jhp.3.3.2014.269-280 </w:t>
      </w:r>
    </w:p>
  </w:footnote>
  <w:footnote w:id="6">
    <w:p w14:paraId="5D651581" w14:textId="5DD17B47" w:rsidR="006610F7" w:rsidRPr="006610F7" w:rsidRDefault="0063463F" w:rsidP="00887F65">
      <w:pPr>
        <w:pStyle w:val="NormalWeb"/>
        <w:ind w:left="567" w:hanging="567"/>
        <w:jc w:val="both"/>
        <w:rPr>
          <w:sz w:val="20"/>
          <w:szCs w:val="20"/>
        </w:rPr>
      </w:pPr>
      <w:r w:rsidRPr="006610F7">
        <w:rPr>
          <w:rStyle w:val="FootnoteReference"/>
          <w:sz w:val="20"/>
          <w:szCs w:val="20"/>
        </w:rPr>
        <w:footnoteRef/>
      </w:r>
      <w:r w:rsidRPr="006610F7">
        <w:rPr>
          <w:sz w:val="20"/>
          <w:szCs w:val="20"/>
        </w:rPr>
        <w:t xml:space="preserve"> </w:t>
      </w:r>
      <w:r w:rsidR="006610F7" w:rsidRPr="006610F7">
        <w:rPr>
          <w:sz w:val="20"/>
          <w:szCs w:val="20"/>
        </w:rPr>
        <w:t xml:space="preserve">D. </w:t>
      </w:r>
      <w:proofErr w:type="spellStart"/>
      <w:r w:rsidR="006610F7" w:rsidRPr="006610F7">
        <w:rPr>
          <w:sz w:val="20"/>
          <w:szCs w:val="20"/>
        </w:rPr>
        <w:t>Lubis</w:t>
      </w:r>
      <w:proofErr w:type="spellEnd"/>
      <w:r w:rsidR="006610F7" w:rsidRPr="006610F7">
        <w:rPr>
          <w:sz w:val="20"/>
          <w:szCs w:val="20"/>
        </w:rPr>
        <w:t>, “</w:t>
      </w:r>
      <w:proofErr w:type="spellStart"/>
      <w:r w:rsidR="006610F7" w:rsidRPr="006610F7">
        <w:rPr>
          <w:sz w:val="20"/>
          <w:szCs w:val="20"/>
        </w:rPr>
        <w:t>Penolakan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Penebangan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Pohon</w:t>
      </w:r>
      <w:proofErr w:type="spellEnd"/>
      <w:r w:rsidR="006610F7" w:rsidRPr="006610F7">
        <w:rPr>
          <w:sz w:val="20"/>
          <w:szCs w:val="20"/>
        </w:rPr>
        <w:t xml:space="preserve"> Oleh </w:t>
      </w:r>
      <w:proofErr w:type="spellStart"/>
      <w:r w:rsidR="006610F7" w:rsidRPr="006610F7">
        <w:rPr>
          <w:sz w:val="20"/>
          <w:szCs w:val="20"/>
        </w:rPr>
        <w:t>Pemilik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Sebagai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perbuatan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melawan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hukum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karena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berpotensi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Menimbulkan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Kerugian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Bagi</w:t>
      </w:r>
      <w:proofErr w:type="spellEnd"/>
      <w:r w:rsidR="006610F7" w:rsidRPr="006610F7">
        <w:rPr>
          <w:sz w:val="20"/>
          <w:szCs w:val="20"/>
        </w:rPr>
        <w:t xml:space="preserve"> Orang Lain</w:t>
      </w:r>
      <w:r w:rsidR="006610F7">
        <w:rPr>
          <w:sz w:val="20"/>
          <w:szCs w:val="20"/>
        </w:rPr>
        <w:t xml:space="preserve"> </w:t>
      </w:r>
      <w:r w:rsidR="006610F7" w:rsidRPr="006610F7">
        <w:rPr>
          <w:sz w:val="20"/>
          <w:szCs w:val="20"/>
        </w:rPr>
        <w:t>(</w:t>
      </w:r>
      <w:proofErr w:type="spellStart"/>
      <w:r w:rsidR="006610F7" w:rsidRPr="006610F7">
        <w:rPr>
          <w:sz w:val="20"/>
          <w:szCs w:val="20"/>
        </w:rPr>
        <w:t>analisis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Putusan</w:t>
      </w:r>
      <w:proofErr w:type="spellEnd"/>
      <w:r w:rsidR="006610F7" w:rsidRPr="006610F7">
        <w:rPr>
          <w:sz w:val="20"/>
          <w:szCs w:val="20"/>
        </w:rPr>
        <w:t xml:space="preserve"> </w:t>
      </w:r>
      <w:proofErr w:type="spellStart"/>
      <w:r w:rsidR="006610F7" w:rsidRPr="006610F7">
        <w:rPr>
          <w:sz w:val="20"/>
          <w:szCs w:val="20"/>
        </w:rPr>
        <w:t>Mahkamah</w:t>
      </w:r>
      <w:proofErr w:type="spellEnd"/>
      <w:r w:rsidR="006610F7" w:rsidRPr="006610F7">
        <w:rPr>
          <w:sz w:val="20"/>
          <w:szCs w:val="20"/>
        </w:rPr>
        <w:t xml:space="preserve"> Agung </w:t>
      </w:r>
      <w:proofErr w:type="spellStart"/>
      <w:r w:rsidR="006610F7" w:rsidRPr="006610F7">
        <w:rPr>
          <w:sz w:val="20"/>
          <w:szCs w:val="20"/>
        </w:rPr>
        <w:t>Nomor</w:t>
      </w:r>
      <w:proofErr w:type="spellEnd"/>
      <w:r w:rsidR="006610F7" w:rsidRPr="006610F7">
        <w:rPr>
          <w:sz w:val="20"/>
          <w:szCs w:val="20"/>
        </w:rPr>
        <w:t xml:space="preserve"> 1022 K/PDT/2006),” </w:t>
      </w:r>
      <w:proofErr w:type="spellStart"/>
      <w:r w:rsidR="006610F7" w:rsidRPr="006610F7">
        <w:rPr>
          <w:i/>
          <w:iCs/>
          <w:sz w:val="20"/>
          <w:szCs w:val="20"/>
        </w:rPr>
        <w:t>Jurnal</w:t>
      </w:r>
      <w:proofErr w:type="spellEnd"/>
      <w:r w:rsidR="006610F7" w:rsidRPr="006610F7">
        <w:rPr>
          <w:i/>
          <w:iCs/>
          <w:sz w:val="20"/>
          <w:szCs w:val="20"/>
        </w:rPr>
        <w:t xml:space="preserve"> </w:t>
      </w:r>
      <w:proofErr w:type="spellStart"/>
      <w:r w:rsidR="006610F7" w:rsidRPr="006610F7">
        <w:rPr>
          <w:i/>
          <w:iCs/>
          <w:sz w:val="20"/>
          <w:szCs w:val="20"/>
        </w:rPr>
        <w:t>Ilmiah</w:t>
      </w:r>
      <w:proofErr w:type="spellEnd"/>
      <w:r w:rsidR="006610F7" w:rsidRPr="006610F7">
        <w:rPr>
          <w:i/>
          <w:iCs/>
          <w:sz w:val="20"/>
          <w:szCs w:val="20"/>
        </w:rPr>
        <w:t xml:space="preserve"> METADATA</w:t>
      </w:r>
      <w:r w:rsidR="006610F7" w:rsidRPr="006610F7">
        <w:rPr>
          <w:sz w:val="20"/>
          <w:szCs w:val="20"/>
        </w:rPr>
        <w:t>, vol. 4, no. 1, pp. 328–341, Jan. 2022. doi:10.47652/metadata</w:t>
      </w:r>
      <w:r w:rsidR="006610F7">
        <w:rPr>
          <w:sz w:val="20"/>
          <w:szCs w:val="20"/>
        </w:rPr>
        <w:t xml:space="preserve"> </w:t>
      </w:r>
      <w:r w:rsidR="006610F7" w:rsidRPr="006610F7">
        <w:rPr>
          <w:sz w:val="20"/>
          <w:szCs w:val="20"/>
        </w:rPr>
        <w:t xml:space="preserve">v4i1.135 </w:t>
      </w:r>
    </w:p>
    <w:p w14:paraId="44DC0CD5" w14:textId="0E03E724" w:rsidR="0063463F" w:rsidRPr="00FD3EDD" w:rsidRDefault="0063463F" w:rsidP="00887F65">
      <w:pPr>
        <w:pStyle w:val="FootnoteText"/>
        <w:ind w:firstLine="720"/>
        <w:jc w:val="both"/>
        <w:rPr>
          <w:rFonts w:ascii="Times New Roman" w:hAnsi="Times New Roman" w:cs="Times New Roman"/>
          <w:lang w:val="en-GB"/>
        </w:rPr>
      </w:pPr>
      <w:r w:rsidRPr="00FD3EDD">
        <w:rPr>
          <w:rFonts w:ascii="Times New Roman" w:hAnsi="Times New Roman" w:cs="Times New Roman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9"/>
    <w:rsid w:val="00006469"/>
    <w:rsid w:val="00010AAD"/>
    <w:rsid w:val="000D4DE5"/>
    <w:rsid w:val="000E3DAD"/>
    <w:rsid w:val="000E6492"/>
    <w:rsid w:val="00133122"/>
    <w:rsid w:val="001401B7"/>
    <w:rsid w:val="001B0CDA"/>
    <w:rsid w:val="00230F21"/>
    <w:rsid w:val="00271DCD"/>
    <w:rsid w:val="002C4F76"/>
    <w:rsid w:val="002F393E"/>
    <w:rsid w:val="00320029"/>
    <w:rsid w:val="00361704"/>
    <w:rsid w:val="00424438"/>
    <w:rsid w:val="00426829"/>
    <w:rsid w:val="004541CA"/>
    <w:rsid w:val="00491A59"/>
    <w:rsid w:val="004A595F"/>
    <w:rsid w:val="004B585C"/>
    <w:rsid w:val="004E4118"/>
    <w:rsid w:val="00585144"/>
    <w:rsid w:val="005978FC"/>
    <w:rsid w:val="005B572B"/>
    <w:rsid w:val="005D6A7A"/>
    <w:rsid w:val="00601409"/>
    <w:rsid w:val="0063463F"/>
    <w:rsid w:val="006610F7"/>
    <w:rsid w:val="0068396E"/>
    <w:rsid w:val="0068478F"/>
    <w:rsid w:val="006B2AC1"/>
    <w:rsid w:val="00702EC2"/>
    <w:rsid w:val="007107CF"/>
    <w:rsid w:val="00714804"/>
    <w:rsid w:val="007D2778"/>
    <w:rsid w:val="00805A9D"/>
    <w:rsid w:val="008262B4"/>
    <w:rsid w:val="00887F65"/>
    <w:rsid w:val="008C2ABB"/>
    <w:rsid w:val="009B6E22"/>
    <w:rsid w:val="00A01E02"/>
    <w:rsid w:val="00A21A06"/>
    <w:rsid w:val="00A57614"/>
    <w:rsid w:val="00A70687"/>
    <w:rsid w:val="00A910E8"/>
    <w:rsid w:val="00AA794B"/>
    <w:rsid w:val="00AD194F"/>
    <w:rsid w:val="00AF4B0C"/>
    <w:rsid w:val="00B60D10"/>
    <w:rsid w:val="00BA5507"/>
    <w:rsid w:val="00BC0524"/>
    <w:rsid w:val="00BC151F"/>
    <w:rsid w:val="00BE5460"/>
    <w:rsid w:val="00C22BF9"/>
    <w:rsid w:val="00C352B1"/>
    <w:rsid w:val="00C35640"/>
    <w:rsid w:val="00C4742B"/>
    <w:rsid w:val="00C51FCF"/>
    <w:rsid w:val="00C535DC"/>
    <w:rsid w:val="00C60192"/>
    <w:rsid w:val="00C61CF4"/>
    <w:rsid w:val="00CB4829"/>
    <w:rsid w:val="00CC4DE3"/>
    <w:rsid w:val="00CE31A5"/>
    <w:rsid w:val="00D32079"/>
    <w:rsid w:val="00D47350"/>
    <w:rsid w:val="00D977B1"/>
    <w:rsid w:val="00DD2D1D"/>
    <w:rsid w:val="00E21A8D"/>
    <w:rsid w:val="00EA4EF4"/>
    <w:rsid w:val="00EE6DA1"/>
    <w:rsid w:val="00F04B7F"/>
    <w:rsid w:val="00F42570"/>
    <w:rsid w:val="00F8536D"/>
    <w:rsid w:val="00FA1624"/>
    <w:rsid w:val="00FC5504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3071"/>
  <w15:chartTrackingRefBased/>
  <w15:docId w15:val="{61CD2B3D-24FD-435C-8550-0DB221BB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91A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1A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1A5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E3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684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fath289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469D-C42C-4C0C-8194-7C5F8244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3</dc:creator>
  <cp:keywords/>
  <dc:description/>
  <cp:lastModifiedBy>Hakim 3</cp:lastModifiedBy>
  <cp:revision>52</cp:revision>
  <dcterms:created xsi:type="dcterms:W3CDTF">2024-10-26T07:11:00Z</dcterms:created>
  <dcterms:modified xsi:type="dcterms:W3CDTF">2024-11-25T03:58:00Z</dcterms:modified>
</cp:coreProperties>
</file>