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before="0" w:after="0"/>
        <w:ind w:firstLine="0"/>
        <w:jc w:val="center"/>
      </w:pPr>
      <w:r>
        <w:rPr>
          <w:rFonts w:ascii="仿宋_GB2312" w:hAnsi="仿宋_GB2312" w:eastAsia="仿宋_GB2312"/>
          <w:sz w:val="32"/>
        </w:rPr>
        <w:t>藤县公安局</w:t>
      </w:r>
    </w:p>
    <w:p>
      <w:pPr>
        <w:spacing w:line="560" w:lineRule="exact" w:before="0" w:after="0"/>
        <w:ind w:firstLine="0"/>
        <w:jc w:val="center"/>
      </w:pPr>
      <w:r>
        <w:rPr>
          <w:rFonts w:ascii="宋体" w:hAnsi="宋体" w:eastAsia="宋体"/>
          <w:b/>
          <w:sz w:val="44"/>
        </w:rPr>
        <w:t>行政处罚决定书</w:t>
      </w:r>
    </w:p>
    <w:p>
      <w:pPr>
        <w:spacing w:line="560" w:lineRule="exact" w:before="0" w:after="0"/>
        <w:ind w:firstLine="0"/>
        <w:jc w:val="right"/>
      </w:pPr>
      <w:r>
        <w:rPr>
          <w:rFonts w:ascii="仿宋_GB2312" w:hAnsi="仿宋_GB2312" w:eastAsia="仿宋_GB2312"/>
          <w:sz w:val="32"/>
        </w:rPr>
        <w:t>藤县公行罚决字[2026]652232号</w:t>
      </w:r>
    </w:p>
    <w:p>
      <w:pPr>
        <w:spacing w:line="560" w:lineRule="exact" w:before="0" w:after="0"/>
        <w:ind w:firstLine="640"/>
        <w:jc w:val="left"/>
      </w:pPr>
      <w:r>
        <w:rPr>
          <w:rFonts w:ascii="仿宋_GB2312" w:hAnsi="仿宋_GB2312" w:eastAsia="仿宋_GB2312"/>
          <w:sz w:val="32"/>
        </w:rPr>
        <w:t>违法行为人罗上倍，男，25岁，居民身份证号码45262920010424151X，2001年4月24日出生，籍贯：广西壮族自治区乐业县雅长乡新场村岜岩屯二组140号，户籍：广西壮族自治区乐业县雅长乡新场村岜岩屯二组140号，现住：广西壮族自治区乐业县雅长乡新场村岜岩屯二组140号，工作单位：无，违法犯罪经历：无。</w:t>
      </w:r>
    </w:p>
    <w:p/>
    <w:p>
      <w:pPr>
        <w:spacing w:line="560" w:lineRule="exact" w:before="0" w:after="0"/>
        <w:ind w:firstLine="640"/>
        <w:jc w:val="left"/>
      </w:pPr>
      <w:r>
        <w:rPr>
          <w:rFonts w:ascii="仿宋_GB2312" w:hAnsi="仿宋_GB2312" w:eastAsia="仿宋_GB2312"/>
          <w:sz w:val="32"/>
        </w:rPr>
        <w:t>2026年5月21日23时许至22日0时许，违法行为人罗上倍在藤县藤州镇维也纳酒店一楼大厅及门口路边，实施扰乱公共场所秩序行为。经查，罗上倍因其姐夫张伟雄在藤县象棋镇清理猪粪时中毒死亡，与家属协商未果后，遂参与聚集滋事。罗上倍按照张旭安排，使用手机拍摄现场视频，并在拍摄过程中起哄喊叫“这边有个女领导”。现场另有张伟雄父亲、罗春映跪地哭闹、抱大腿；张旭、张嘉诚取出遗照、祭品进行摆放、抛撒，并呼喊“藤县政府还我弟弟命来”等口号；罗进及其哥哥参与拍摄视频及起哄。约20分钟后，公安民警到场制止，张旭、张嘉诚、罗进等人与民警发生肢体冲突，后被控制。罗上倍未听从民警劝说，继续拍摄，致部分群众围观，造成不良影响。罗上倍共摄录视频47个，未上传至社交平台，但通过微信发送给朋友李云权（微信号Hi-Fairy36）保存。公安机关已依法扣押罗上倍手机（内存储47个视频），并调取微信聊天记录、遗照、祭品、横幅（未使用）等物证。</w:t>
      </w:r>
    </w:p>
    <w:p/>
    <w:p>
      <w:pPr>
        <w:spacing w:line="560" w:lineRule="exact" w:before="0" w:after="0"/>
        <w:ind w:firstLine="640"/>
        <w:jc w:val="left"/>
      </w:pPr>
      <w:r>
        <w:rPr>
          <w:rFonts w:ascii="仿宋_GB2312" w:hAnsi="仿宋_GB2312" w:eastAsia="仿宋_GB2312"/>
          <w:sz w:val="32"/>
        </w:rPr>
        <w:t>上述事实有以下证据证实：1. 违法行为人罗上倍的陈述及辨认笔录；2. 证人张旭、张嘉诚、罗进、罗春映、李云权等人的证言；3. 扣押清单及扣押物品照片，包括罗上倍手机（内含视频47个）、微信聊天记录截图、遗照、祭品、横幅；4. 现场监控视频及执法记录仪录像；5. 公安机关出警记录及现场处置情况说明。，以上事实有检查笔录、违法行为人的陈述和申辩，其他等证据证实。</w:t>
      </w:r>
    </w:p>
    <w:p/>
    <w:p>
      <w:pPr>
        <w:spacing w:line="560" w:lineRule="exact" w:before="0" w:after="0"/>
        <w:ind w:firstLine="640"/>
        <w:jc w:val="left"/>
      </w:pPr>
      <w:r>
        <w:rPr>
          <w:rFonts w:ascii="仿宋_GB2312" w:hAnsi="仿宋_GB2312" w:eastAsia="仿宋_GB2312"/>
          <w:sz w:val="32"/>
        </w:rPr>
        <w:t>根据《中华人民共和国治安管理处罚法》第二十三条第一款第（二）项之规定，现决定对违法行为人罗上倍处以警告。</w:t>
      </w:r>
    </w:p>
    <w:p/>
    <w:p>
      <w:pPr>
        <w:spacing w:line="560" w:lineRule="exact" w:before="0" w:after="0"/>
        <w:ind w:firstLine="640"/>
        <w:jc w:val="left"/>
      </w:pPr>
      <w:r>
        <w:rPr>
          <w:rFonts w:ascii="仿宋_GB2312" w:hAnsi="仿宋_GB2312" w:eastAsia="仿宋_GB2312"/>
          <w:sz w:val="32"/>
        </w:rPr>
        <w:t>执行方式和期限收到决定书之日起15日内将罚款交到指定银行财政罚没专户。</w:t>
      </w:r>
    </w:p>
    <w:p/>
    <w:p>
      <w:pPr>
        <w:spacing w:line="560" w:lineRule="exact" w:before="0" w:after="0"/>
        <w:ind w:firstLine="640"/>
        <w:jc w:val="left"/>
      </w:pPr>
      <w:r>
        <w:rPr>
          <w:rFonts w:ascii="仿宋_GB2312" w:hAnsi="仿宋_GB2312" w:eastAsia="仿宋_GB2312"/>
          <w:sz w:val="32"/>
        </w:rPr>
        <w:t>逾期不交纳罚款的，每日按罚款数额的百分之三加处罚款，罚款的数额不超过罚款本数。</w:t>
      </w:r>
    </w:p>
    <w:p/>
    <w:p>
      <w:pPr>
        <w:spacing w:line="560" w:lineRule="exact" w:before="0" w:after="0"/>
        <w:ind w:firstLine="640"/>
        <w:jc w:val="left"/>
      </w:pPr>
      <w:r>
        <w:rPr>
          <w:rFonts w:ascii="仿宋_GB2312" w:hAnsi="仿宋_GB2312" w:eastAsia="仿宋_GB2312"/>
          <w:sz w:val="32"/>
        </w:rPr>
        <w:t>一式四份，被处罚人和执行单位各一份，被侵害人一份，一份附卷。登陆www.gazxfz.gov.cn查询该行政处罚公开和网上申请行政复议。</w:t>
      </w:r>
    </w:p>
    <w:p/>
    <w:p>
      <w:pPr>
        <w:spacing w:line="560" w:lineRule="exact" w:before="0" w:after="0"/>
        <w:ind w:firstLine="640"/>
        <w:jc w:val="left"/>
      </w:pPr>
      <w:r>
        <w:rPr>
          <w:rFonts w:ascii="仿宋_GB2312" w:hAnsi="仿宋_GB2312" w:eastAsia="仿宋_GB2312"/>
          <w:sz w:val="32"/>
        </w:rPr>
        <w:t>如不服本决定，可以在收到本决定书之日起六十日内向藤县人民政府申请行政复议或者在六个月内依法向藤县人民法院提起行政诉讼。</w:t>
      </w:r>
    </w:p>
    <w:p/>
    <w:p>
      <w:pPr>
        <w:spacing w:line="560" w:lineRule="exact" w:before="0" w:after="0"/>
        <w:ind w:firstLine="640"/>
        <w:jc w:val="left"/>
      </w:pPr>
      <w:r>
        <w:rPr>
          <w:rFonts w:ascii="仿宋_GB2312" w:hAnsi="仿宋_GB2312" w:eastAsia="仿宋_GB2312"/>
          <w:sz w:val="32"/>
        </w:rPr>
        <w:t>附：  清单共  份</w:t>
      </w:r>
    </w:p>
    <w:p/>
    <w:p>
      <w:pPr>
        <w:spacing w:line="560" w:lineRule="exact" w:before="0" w:after="0"/>
        <w:ind w:firstLine="640"/>
        <w:jc w:val="left"/>
      </w:pPr>
      <w:r>
        <w:rPr>
          <w:rFonts w:ascii="仿宋_GB2312" w:hAnsi="仿宋_GB2312" w:eastAsia="仿宋_GB2312"/>
          <w:sz w:val="32"/>
        </w:rPr>
        <w:t>藤县公安局</w:t>
      </w:r>
    </w:p>
    <w:p>
      <w:pPr>
        <w:spacing w:line="560" w:lineRule="exact" w:before="0" w:after="0"/>
        <w:ind w:firstLine="640"/>
        <w:jc w:val="left"/>
      </w:pPr>
      <w:r>
        <w:rPr>
          <w:rFonts w:ascii="仿宋_GB2312" w:hAnsi="仿宋_GB2312" w:eastAsia="仿宋_GB2312"/>
          <w:sz w:val="32"/>
        </w:rPr>
        <w:t>2026-05-26</w:t>
      </w:r>
    </w:p>
    <w:p/>
    <w:p>
      <w:pPr>
        <w:spacing w:line="560" w:lineRule="exact" w:before="0" w:after="0"/>
        <w:ind w:firstLine="640"/>
        <w:jc w:val="left"/>
      </w:pPr>
      <w:r>
        <w:rPr>
          <w:rFonts w:ascii="仿宋_GB2312" w:hAnsi="仿宋_GB2312" w:eastAsia="仿宋_GB2312"/>
          <w:sz w:val="32"/>
        </w:rPr>
        <w:t>行政处罚决定书已向我宣告并送达。</w:t>
      </w:r>
    </w:p>
    <w:p>
      <w:pPr>
        <w:spacing w:line="560" w:lineRule="exact" w:before="0" w:after="0"/>
        <w:ind w:firstLine="0"/>
        <w:jc w:val="left"/>
      </w:pPr>
      <w:r>
        <w:rPr>
          <w:rFonts w:ascii="仿宋_GB2312" w:hAnsi="仿宋_GB2312" w:eastAsia="仿宋_GB2312"/>
          <w:sz w:val="32"/>
        </w:rPr>
        <w:t>被处罚人:                        被侵害人：</w:t>
      </w:r>
    </w:p>
    <w:p>
      <w:pPr>
        <w:spacing w:line="560" w:lineRule="exact" w:before="0" w:after="0"/>
        <w:ind w:firstLine="640"/>
        <w:jc w:val="left"/>
      </w:pPr>
      <w:r>
        <w:rPr>
          <w:rFonts w:ascii="仿宋_GB2312" w:hAnsi="仿宋_GB2312" w:eastAsia="仿宋_GB2312"/>
          <w:sz w:val="32"/>
        </w:rPr>
        <w:t>年    月    日                  年    月    日</w:t>
      </w:r>
    </w:p>
    <w:p>
      <w:pPr>
        <w:spacing w:line="560" w:lineRule="exact" w:before="0" w:after="0"/>
        <w:ind w:firstLine="0"/>
        <w:jc w:val="left"/>
      </w:pPr>
      <w:r>
        <w:rPr>
          <w:rFonts w:ascii="仿宋_GB2312" w:hAnsi="仿宋_GB2312" w:eastAsia="仿宋_GB2312"/>
          <w:sz w:val="32"/>
        </w:rPr>
        <w:t>接收人员：</w:t>
      </w:r>
    </w:p>
    <w:p>
      <w:pPr>
        <w:spacing w:line="560" w:lineRule="exact" w:before="0" w:after="0"/>
        <w:ind w:firstLine="0"/>
        <w:jc w:val="left"/>
      </w:pPr>
      <w:r>
        <w:rPr>
          <w:rFonts w:ascii="仿宋_GB2312" w:hAnsi="仿宋_GB2312" w:eastAsia="仿宋_GB2312"/>
          <w:sz w:val="32"/>
        </w:rPr>
        <w:t>接收单位（印）</w:t>
      </w:r>
    </w:p>
    <w:p>
      <w:pPr>
        <w:spacing w:line="560" w:lineRule="exact" w:before="0" w:after="0"/>
        <w:ind w:firstLine="640"/>
        <w:jc w:val="left"/>
      </w:pPr>
      <w:r>
        <w:rPr>
          <w:rFonts w:ascii="仿宋_GB2312" w:hAnsi="仿宋_GB2312" w:eastAsia="仿宋_GB2312"/>
          <w:sz w:val="32"/>
        </w:rPr>
        <w:t>年    月    日</w:t>
      </w:r>
    </w:p>
    <w:p/>
    <w:p>
      <w:pPr>
        <w:spacing w:line="560" w:lineRule="exact" w:before="0" w:after="0"/>
        <w:ind w:firstLine="640"/>
        <w:jc w:val="left"/>
      </w:pPr>
      <w:r>
        <w:rPr>
          <w:rFonts w:ascii="仿宋_GB2312" w:hAnsi="仿宋_GB2312" w:eastAsia="仿宋_GB2312"/>
          <w:sz w:val="32"/>
        </w:rPr>
        <w:t>案件编号：</w:t>
      </w:r>
    </w:p>
    <w:p>
      <w:pPr>
        <w:spacing w:line="560" w:lineRule="exact" w:before="0" w:after="0"/>
        <w:ind w:firstLine="640"/>
        <w:jc w:val="left"/>
      </w:pPr>
      <w:r>
        <w:rPr>
          <w:rFonts w:ascii="仿宋_GB2312" w:hAnsi="仿宋_GB2312" w:eastAsia="仿宋_GB2312"/>
          <w:sz w:val="32"/>
        </w:rPr>
        <w:t>人员编号：</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