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样式主题二</w:t>
      </w:r>
    </w:p>
    <w:p>
      <w:r>
        <w:t>文档编号：styles_02；用途：含定制样式与主题字体。</w:t>
      </w:r>
    </w:p>
    <w:p>
      <w:r>
        <w:t>本段的占位标记为 [[TGT::styles_02]]，金额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pPr>
        <w:pStyle w:val="定制强调styles_02"/>
      </w:pPr>
      <w:r>
        <w:t>样式继承：本段使用定制样式 styles_02</w:t>
      </w:r>
    </w:p>
    <w:p>
      <w:r>
        <w:rPr>
          <w:rFonts w:asciiTheme="minorHAnsi" w:hAnsiTheme="minorHAnsi" w:eastAsiaTheme="minorEastAsia"/>
        </w:rPr>
        <w:t>主题字体文本：minorHAnsi / majorHAnsi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定制强调styles_02">
    <w:name w:val="定制强调 styles_02"/>
    <w:basedOn w:val="Normal"/>
    <w:rPr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