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公式一</w:t>
      </w:r>
    </w:p>
    <w:p>
      <w:r>
        <w:t>文档编号：equations_01；用途：含 OMML 公式（m:oMath）。</w:t>
      </w:r>
    </w:p>
    <w:p>
      <w:r>
        <w:t>本段的占位标记为 [[TGT::equations_01]]，金额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t xml:space="preserve">等式：</w:t>
      </w:r>
      <m:oMath>
        <m:r>
          <m:t>a+b=c</m:t>
        </m:r>
      </m:oMath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