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脚注样本二</w:t>
      </w:r>
    </w:p>
    <w:p>
      <w:r>
        <w:t>文档编号：footnotes_02；用途：含脚注与尾注（footnotes.xml / endnotes.xml）。</w:t>
      </w:r>
    </w:p>
    <w:p>
      <w:r>
        <w:t>本段的占位标记为 [[TGT::footnotes_02]]，金额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rPr>
          <w:rStyle w:val="FootnoteReference"/>
        </w:rPr>
        <w:footnoteReference w:id="1"/>
      </w:r>
      <w:r>
        <w:rPr>
          <w:rStyle w:val="EndnoteReference"/>
        </w:rPr>
        <w:endnoteReference w:id="1"/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尾注 1：口径见附录。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rPr>
          <w:rStyle w:val="FootnoteReference"/>
        </w:rPr>
        <w:footnoteRef/>
      </w:r>
      <w:r>
        <w:t>脚注 1：数据来源为内部台账。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Footnote1" Type="http://schemas.openxmlformats.org/officeDocument/2006/relationships/footnotes" Target="footnotes.xml"/><Relationship Id="rIdEndnote1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