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合并单元格一</w:t>
      </w:r>
    </w:p>
    <w:p>
      <w:r>
        <w:t>文档编号：merged_cells_01；用途：含横向 + 纵向合并单元格。</w:t>
      </w:r>
    </w:p>
    <w:p>
      <w:r>
        <w:t>本段的占位标记为 [[TGT::merged_cells_01]]，金额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横向合并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</w:t>
            </w:r>
          </w:p>
        </w:tc>
        <w:tc>
          <w:tcPr>
            <w:tcW w:type="dxa" w:w="2880"/>
          </w:tcPr>
          <w:p>
            <w:r>
              <w:t>单元格11</w:t>
            </w:r>
          </w:p>
        </w:tc>
        <w:tc>
          <w:tcPr>
            <w:tcW w:type="dxa" w:w="2880"/>
          </w:tcPr>
          <w:p>
            <w:r>
              <w:t>单元格12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单元格21</w:t>
            </w:r>
          </w:p>
        </w:tc>
        <w:tc>
          <w:tcPr>
            <w:tcW w:type="dxa" w:w="2880"/>
          </w:tcPr>
          <w:p>
            <w:r>
              <w:t>单元格22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