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嵌套表格一</w:t>
      </w:r>
    </w:p>
    <w:p>
      <w:r>
        <w:t>文档编号：nested_tables_01；用途：含嵌套表格。</w:t>
      </w:r>
    </w:p>
    <w:p>
      <w:r>
        <w:t>本段的占位标记为 [[TGT::nested_tables_01]]，金额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外层左上</w:t>
            </w:r>
          </w:p>
        </w:tc>
        <w:tc>
          <w:tcPr>
            <w:tcW w:type="dxa" w:w="4320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内层00</w:t>
                  </w:r>
                </w:p>
              </w:tc>
              <w:tc>
                <w:tcPr>
                  <w:tcW w:type="dxa" w:w="2160"/>
                </w:tcPr>
                <w:p>
                  <w:r>
                    <w:t>内层01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内层10</w:t>
                  </w:r>
                </w:p>
              </w:tc>
              <w:tc>
                <w:tcPr>
                  <w:tcW w:type="dxa" w:w="2160"/>
                </w:tcPr>
                <w:p>
                  <w:r>
                    <w:t>内层11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外层左下</w:t>
            </w:r>
          </w:p>
        </w:tc>
        <w:tc>
          <w:tcPr>
            <w:tcW w:type="dxa" w:w="4320"/>
          </w:tcPr>
          <w:p>
            <w:r>
              <w:t>外层右下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