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文本框二</w:t>
      </w:r>
    </w:p>
    <w:p>
      <w:r>
        <w:t>文档编号：textboxes_02；用途：含文本框（w:txbxContent）。</w:t>
      </w:r>
    </w:p>
    <w:p>
      <w:r>
        <w:t>本段的占位标记为 [[TGT::textboxes_02]]，金额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pict>
          <v:shape style="width:200pt;height:60pt" type="#_x0000_t202">
            <v:textbox>
              <w:txbxContent>
                <w:p>
                  <w:r>
                    <w:t xml:space="preserve">文本框内容 textboxes_02：形状内文本随文本块一并保留。</w:t>
                  </w:r>
                </w:p>
              </w:txbxContent>
            </v:textbox>
          </v:shape>
        </w:pic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