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before="0" w:after="80"/>
      </w:pPr>
      <w:r>
        <w:rPr>
          <w:rFonts w:ascii="STHeiti" w:hAnsi="STHeiti" w:eastAsia="STHeiti"/>
          <w:b/>
          <w:i w:val="0"/>
          <w:color w:val="000000"/>
          <w:sz w:val="46"/>
        </w:rPr>
        <w:t>v0.3.0 测试方案</w:t>
      </w:r>
    </w:p>
    <w:p>
      <w:pPr>
        <w:spacing w:after="280"/>
      </w:pPr>
      <w:r>
        <w:rPr>
          <w:rFonts w:ascii="STHeiti" w:hAnsi="STHeiti" w:eastAsia="STHeiti"/>
          <w:b w:val="0"/>
          <w:i w:val="0"/>
          <w:color w:val="5B6470"/>
          <w:sz w:val="24"/>
        </w:rPr>
        <w:t>安全编码交付闭环 · 自动化、候选包与人工验收</w:t>
      </w:r>
    </w:p>
    <w:p>
      <w:pPr>
        <w:spacing w:after="40"/>
      </w:pPr>
      <w:r>
        <w:rPr>
          <w:rFonts w:ascii="STHeiti" w:hAnsi="STHeiti" w:eastAsia="STHeiti"/>
          <w:b/>
          <w:i w:val="0"/>
          <w:color w:val="1F2937"/>
          <w:sz w:val="20"/>
        </w:rPr>
        <w:t xml:space="preserve">测试对象: </w:t>
      </w:r>
      <w:r>
        <w:rPr>
          <w:rFonts w:ascii="STHeiti" w:hAnsi="STHeiti" w:eastAsia="STHeiti"/>
          <w:b w:val="0"/>
          <w:i w:val="0"/>
          <w:color w:val="1F2937"/>
          <w:sz w:val="20"/>
        </w:rPr>
        <w:t>CodexMVP / AgentLab v0.3.0</w:t>
      </w:r>
    </w:p>
    <w:p>
      <w:pPr>
        <w:spacing w:after="40"/>
      </w:pPr>
      <w:r>
        <w:rPr>
          <w:rFonts w:ascii="STHeiti" w:hAnsi="STHeiti" w:eastAsia="STHeiti"/>
          <w:b/>
          <w:i w:val="0"/>
          <w:color w:val="1F2937"/>
          <w:sz w:val="20"/>
        </w:rPr>
        <w:t xml:space="preserve">代码基线: </w:t>
      </w:r>
      <w:r>
        <w:rPr>
          <w:rFonts w:ascii="STHeiti" w:hAnsi="STHeiti" w:eastAsia="STHeiti"/>
          <w:b w:val="0"/>
          <w:i w:val="0"/>
          <w:color w:val="1F2937"/>
          <w:sz w:val="20"/>
        </w:rPr>
        <w:t>1193dce · tag v0.3.0</w:t>
      </w:r>
    </w:p>
    <w:p>
      <w:pPr>
        <w:spacing w:after="40"/>
      </w:pPr>
      <w:r>
        <w:rPr>
          <w:rFonts w:ascii="STHeiti" w:hAnsi="STHeiti" w:eastAsia="STHeiti"/>
          <w:b/>
          <w:i w:val="0"/>
          <w:color w:val="1F2937"/>
          <w:sz w:val="20"/>
        </w:rPr>
        <w:t xml:space="preserve">执行日期: </w:t>
      </w:r>
      <w:r>
        <w:rPr>
          <w:rFonts w:ascii="STHeiti" w:hAnsi="STHeiti" w:eastAsia="STHeiti"/>
          <w:b w:val="0"/>
          <w:i w:val="0"/>
          <w:color w:val="1F2937"/>
          <w:sz w:val="20"/>
        </w:rPr>
        <w:t>2026-08-01</w:t>
      </w:r>
    </w:p>
    <w:p>
      <w:pPr>
        <w:pStyle w:val="Heading1"/>
      </w:pPr>
      <w:r>
        <w:t>1. 目标与范围</w:t>
      </w:r>
    </w:p>
    <w:p>
      <w:r>
        <w:rPr>
          <w:rFonts w:ascii="STHeiti" w:hAnsi="STHeiti" w:eastAsia="STHeiti"/>
          <w:b w:val="0"/>
          <w:i w:val="0"/>
          <w:color w:val="1F2937"/>
          <w:sz w:val="22"/>
        </w:rPr>
        <w:t>验证 v0.3.0 是否形成“安全执行 → 变更审查 → 验证 → 可追溯提交”的最小闭环，并优先回归 V2 报告确认的 TC-10 生命周期和只读权限风险。</w:t>
      </w:r>
    </w:p>
    <w:p>
      <w:r>
        <w:rPr>
          <w:rFonts w:ascii="STHeiti" w:hAnsi="STHeiti" w:eastAsia="STHeiti"/>
          <w:b w:val="0"/>
          <w:i w:val="0"/>
          <w:color w:val="1F2937"/>
          <w:sz w:val="22"/>
        </w:rPr>
        <w:t>离线范围包括 SQLite 状态恢复、Git 服务、验证服务、Sandbox 预设、权限审计、多 Agent 策略、构建和候选包。真实 LLM、MCP/ROS、人工 GUI 与签名公证不以自动化通过替代。</w:t>
      </w:r>
    </w:p>
    <w:p>
      <w:pPr>
        <w:pStyle w:val="Heading1"/>
      </w:pPr>
      <w:r>
        <w:t>2. 准入与判定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准入/判定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代码基线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1193dce07b67668983df34bc7be20c2d3504b47c，v0.3.0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环境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macOS arm64；Node.js 24.x；Electron 43.1.1；本地 Git 可用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自动化通过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命令退出码为 0 或全部断言通过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阻塞分类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缺失外部凭据、服务、设备或人工 GUI 前置条件，标记 environment_blocked/manual_required</w:t>
            </w:r>
          </w:p>
        </w:tc>
      </w:tr>
    </w:tbl>
    <w:p>
      <w:pPr>
        <w:spacing w:after="40"/>
      </w:pPr>
    </w:p>
    <w:p>
      <w:pPr>
        <w:pStyle w:val="Heading1"/>
      </w:pPr>
      <w:r>
        <w:t>3. 用例矩阵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ID</w:t>
            </w:r>
          </w:p>
        </w:tc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级别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场景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方法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通过标准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全量回归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test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所有测试通过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TypeScript/前端/主进程构建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run build:web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构建成功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ESLint 9 Flat Config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run lint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零 error/zero warning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SQLite 恢复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SessionStore 测试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running Turn 恢复 interrupted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Git 乐观并发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GitService 测试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旧 token 被拒绝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TC-06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只读权限继承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policy 测试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危险工具全部拒绝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TC-07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TC-10 终态规则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policy ×10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只认可四种终态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TC-08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事件/权限/SDK UUID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编译与代码核验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持久化路径完整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TC-09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候选应用结构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Info.plist/二进制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版本 0.3.0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TC-10~13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Git UI、Review、Sandbox、真实三专家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人工 GUI / 有效 LLM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按 PRD 验收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TC-14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MCP/ROS/车辆扩展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专用环境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缺环境不误报通过</w:t>
            </w:r>
          </w:p>
        </w:tc>
      </w:tr>
    </w:tbl>
    <w:p>
      <w:pPr>
        <w:spacing w:after="40"/>
      </w:pPr>
    </w:p>
    <w:p>
      <w:pPr>
        <w:pStyle w:val="Heading1"/>
      </w:pPr>
      <w:r>
        <w:t>4. 执行顺序</w:t>
      </w:r>
    </w:p>
    <w:p>
      <w:pPr>
        <w:pStyle w:val="ListNumber"/>
      </w:pPr>
      <w:r>
        <w:rPr>
          <w:rFonts w:ascii="STHeiti" w:hAnsi="STHeiti" w:eastAsia="STHeiti"/>
          <w:b w:val="0"/>
          <w:i w:val="0"/>
          <w:color w:val="1F2937"/>
          <w:sz w:val="22"/>
        </w:rPr>
        <w:t>执行 npm test，读取测试数量与失败数。</w:t>
      </w:r>
    </w:p>
    <w:p>
      <w:pPr>
        <w:pStyle w:val="ListNumber"/>
      </w:pPr>
      <w:r>
        <w:rPr>
          <w:rFonts w:ascii="STHeiti" w:hAnsi="STHeiti" w:eastAsia="STHeiti"/>
          <w:b w:val="0"/>
          <w:i w:val="0"/>
          <w:color w:val="1F2937"/>
          <w:sz w:val="22"/>
        </w:rPr>
        <w:t>执行 npm run lint 与 npm run build:web。</w:t>
      </w:r>
    </w:p>
    <w:p>
      <w:pPr>
        <w:pStyle w:val="ListNumber"/>
      </w:pPr>
      <w:r>
        <w:rPr>
          <w:rFonts w:ascii="STHeiti" w:hAnsi="STHeiti" w:eastAsia="STHeiti"/>
          <w:b w:val="0"/>
          <w:i w:val="0"/>
          <w:color w:val="1F2937"/>
          <w:sz w:val="22"/>
        </w:rPr>
        <w:t>核验候选 .app 的 Info.plist、主可执行文件和版本号。</w:t>
      </w:r>
    </w:p>
    <w:p>
      <w:pPr>
        <w:pStyle w:val="ListNumber"/>
      </w:pPr>
      <w:r>
        <w:rPr>
          <w:rFonts w:ascii="STHeiti" w:hAnsi="STHeiti" w:eastAsia="STHeiti"/>
          <w:b w:val="0"/>
          <w:i w:val="0"/>
          <w:color w:val="1F2937"/>
          <w:sz w:val="22"/>
        </w:rPr>
        <w:t>将真实 LLM/GUI/MCP 场景交给有凭据和隔离工作区的人工补测。</w:t>
      </w:r>
    </w:p>
    <w:p>
      <w:pPr>
        <w:pStyle w:val="Heading1"/>
      </w:pPr>
      <w:r>
        <w:t>5. 发布门</w:t>
      </w:r>
    </w:p>
    <w:p>
      <w:r>
        <w:rPr>
          <w:rFonts w:ascii="STHeiti" w:hAnsi="STHeiti" w:eastAsia="STHeiti"/>
          <w:b w:val="0"/>
          <w:i w:val="0"/>
          <w:color w:val="1F2937"/>
          <w:sz w:val="22"/>
        </w:rPr>
        <w:t>所有 P0 自动化项必须通过。未签名候选应用只能用于本地验收；正式 macOS 分发前必须完成 Developer ID 签名、notarization 与 Gatekeeper 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Heiti" w:hAnsi="STHeiti" w:eastAsia="STHeiti"/>
        <w:b w:val="0"/>
        <w:i w:val="0"/>
        <w:color w:val="5B6470"/>
        <w:sz w:val="16"/>
      </w:rPr>
      <w:t>Internal test artifact · 2026-08-01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b w:val="0"/>
        <w:i w:val="0"/>
        <w:color w:val="5B6470"/>
        <w:sz w:val="16"/>
      </w:rPr>
      <w:t>AgentLab v0.3.0 · Quality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THeiti" w:hAnsi="STHeiti" w:eastAsia="STHeit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