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1a365d"/>
        </w:rPr>
      </w:pPr>
      <w:r w:rsidDel="00000000" w:rsidR="00000000" w:rsidRPr="00000000">
        <w:rPr>
          <w:rFonts w:ascii="Arial Unicode MS" w:cs="Arial Unicode MS" w:eastAsia="Arial Unicode MS" w:hAnsi="Arial Unicode MS"/>
          <w:color w:val="1a365d"/>
          <w:rtl w:val="0"/>
        </w:rPr>
        <w:t xml:space="preserve">AI智能体（PPT大纲与图文生成）商业化、精细化计费与全生命周期运营战略方案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jc w:val="center"/>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产品商业化大盘、精细财务模型、全栈风控与数据监控看板全案规范文档 (V4.0 深度极客详尽版)</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404"/>
        <w:gridCol w:w="3276"/>
        <w:gridCol w:w="1404"/>
        <w:gridCol w:w="3276"/>
        <w:tblGridChange w:id="0">
          <w:tblGrid>
            <w:gridCol w:w="1404"/>
            <w:gridCol w:w="3276"/>
            <w:gridCol w:w="1404"/>
            <w:gridCol w:w="3276"/>
          </w:tblGrid>
        </w:tblGridChange>
      </w:tblGrid>
      <w:tr>
        <w:trPr>
          <w:cantSplit w:val="0"/>
          <w:tblHeader w:val="0"/>
        </w:trPr>
        <w:tc>
          <w:tcPr>
            <w:shd w:fill="f7fafc" w:val="clear"/>
            <w:tcMar>
              <w:top w:w="120.0" w:type="dxa"/>
              <w:left w:w="120.0" w:type="dxa"/>
              <w:bottom w:w="120.0" w:type="dxa"/>
              <w:right w:w="12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4a5568"/>
                <w:sz w:val="20"/>
                <w:szCs w:val="20"/>
                <w:shd w:fill="auto" w:val="clear"/>
              </w:rPr>
            </w:pPr>
            <w:r w:rsidDel="00000000" w:rsidR="00000000" w:rsidRPr="00000000">
              <w:rPr>
                <w:rFonts w:ascii="Arial Unicode MS" w:cs="Arial Unicode MS" w:eastAsia="Arial Unicode MS" w:hAnsi="Arial Unicode MS"/>
                <w:b w:val="1"/>
                <w:bCs w:val="1"/>
                <w:color w:val="4a5568"/>
                <w:sz w:val="20"/>
                <w:szCs w:val="20"/>
                <w:shd w:fill="auto" w:val="clear"/>
                <w:rtl w:val="0"/>
              </w:rPr>
              <w:t xml:space="preserve">文档名称</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2d3748"/>
                <w:sz w:val="20"/>
                <w:szCs w:val="20"/>
                <w:shd w:fill="auto" w:val="clear"/>
              </w:rPr>
            </w:pPr>
            <w:r w:rsidDel="00000000" w:rsidR="00000000" w:rsidRPr="00000000">
              <w:rPr>
                <w:rFonts w:ascii="Arial Unicode MS" w:cs="Arial Unicode MS" w:eastAsia="Arial Unicode MS" w:hAnsi="Arial Unicode MS"/>
                <w:color w:val="2d3748"/>
                <w:sz w:val="20"/>
                <w:szCs w:val="20"/>
                <w:shd w:fill="auto" w:val="clear"/>
                <w:rtl w:val="0"/>
              </w:rPr>
              <w:t xml:space="preserve">AI智能体PPT生成商业化及运营全栈方案</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4a5568"/>
                <w:sz w:val="20"/>
                <w:szCs w:val="20"/>
                <w:shd w:fill="auto" w:val="clear"/>
              </w:rPr>
            </w:pPr>
            <w:r w:rsidDel="00000000" w:rsidR="00000000" w:rsidRPr="00000000">
              <w:rPr>
                <w:rFonts w:ascii="Arial Unicode MS" w:cs="Arial Unicode MS" w:eastAsia="Arial Unicode MS" w:hAnsi="Arial Unicode MS"/>
                <w:b w:val="1"/>
                <w:bCs w:val="1"/>
                <w:color w:val="4a5568"/>
                <w:sz w:val="20"/>
                <w:szCs w:val="20"/>
                <w:shd w:fill="auto" w:val="clear"/>
                <w:rtl w:val="0"/>
              </w:rPr>
              <w:t xml:space="preserve">设计人</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2d3748"/>
                <w:sz w:val="20"/>
                <w:szCs w:val="20"/>
                <w:shd w:fill="auto" w:val="clear"/>
              </w:rPr>
            </w:pPr>
            <w:r w:rsidDel="00000000" w:rsidR="00000000" w:rsidRPr="00000000">
              <w:rPr>
                <w:rFonts w:ascii="Arial Unicode MS" w:cs="Arial Unicode MS" w:eastAsia="Arial Unicode MS" w:hAnsi="Arial Unicode MS"/>
                <w:color w:val="2d3748"/>
                <w:sz w:val="20"/>
                <w:szCs w:val="20"/>
                <w:shd w:fill="auto" w:val="clear"/>
                <w:rtl w:val="0"/>
              </w:rPr>
              <w:t xml:space="preserve">方媛 [cite: user summary]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4a5568"/>
                <w:sz w:val="20"/>
                <w:szCs w:val="20"/>
              </w:rPr>
            </w:pPr>
            <w:r w:rsidDel="00000000" w:rsidR="00000000" w:rsidRPr="00000000">
              <w:rPr>
                <w:rFonts w:ascii="Arial Unicode MS" w:cs="Arial Unicode MS" w:eastAsia="Arial Unicode MS" w:hAnsi="Arial Unicode MS"/>
                <w:b w:val="1"/>
                <w:bCs w:val="1"/>
                <w:color w:val="4a5568"/>
                <w:sz w:val="20"/>
                <w:szCs w:val="20"/>
                <w:rtl w:val="0"/>
              </w:rPr>
              <w:t xml:space="preserve">产品定位</w:t>
            </w:r>
          </w:p>
        </w:tc>
        <w:tc>
          <w:tcPr>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2d3748"/>
                <w:sz w:val="20"/>
                <w:szCs w:val="20"/>
              </w:rPr>
            </w:pPr>
            <w:r w:rsidDel="00000000" w:rsidR="00000000" w:rsidRPr="00000000">
              <w:rPr>
                <w:rFonts w:ascii="Arial Unicode MS" w:cs="Arial Unicode MS" w:eastAsia="Arial Unicode MS" w:hAnsi="Arial Unicode MS"/>
                <w:color w:val="2d3748"/>
                <w:sz w:val="20"/>
                <w:szCs w:val="20"/>
                <w:rtl w:val="0"/>
              </w:rPr>
              <w:t xml:space="preserve">面向多模态职场协同与智能演示生成的全栈级AI应用平台</w:t>
            </w:r>
          </w:p>
        </w:tc>
        <w:tc>
          <w:tcPr>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4a5568"/>
                <w:sz w:val="20"/>
                <w:szCs w:val="20"/>
              </w:rPr>
            </w:pPr>
            <w:r w:rsidDel="00000000" w:rsidR="00000000" w:rsidRPr="00000000">
              <w:rPr>
                <w:rFonts w:ascii="Arial Unicode MS" w:cs="Arial Unicode MS" w:eastAsia="Arial Unicode MS" w:hAnsi="Arial Unicode MS"/>
                <w:b w:val="1"/>
                <w:bCs w:val="1"/>
                <w:color w:val="4a5568"/>
                <w:sz w:val="20"/>
                <w:szCs w:val="20"/>
                <w:rtl w:val="0"/>
              </w:rPr>
              <w:t xml:space="preserve">文档状态</w:t>
            </w:r>
          </w:p>
        </w:tc>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2d3748"/>
                <w:sz w:val="20"/>
                <w:szCs w:val="20"/>
              </w:rPr>
            </w:pPr>
            <w:r w:rsidDel="00000000" w:rsidR="00000000" w:rsidRPr="00000000">
              <w:rPr>
                <w:rFonts w:ascii="Arial Unicode MS" w:cs="Arial Unicode MS" w:eastAsia="Arial Unicode MS" w:hAnsi="Arial Unicode MS"/>
                <w:color w:val="2d3748"/>
                <w:sz w:val="20"/>
                <w:szCs w:val="20"/>
                <w:rtl w:val="0"/>
              </w:rPr>
              <w:t xml:space="preserve">架构级发布版 (V4.0)</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before="225"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一、 商业化变现模式的深度解构与多维设计路径</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2d3748"/>
          <w:rtl w:val="0"/>
        </w:rPr>
        <w:t xml:space="preserve">纯粹的To-C工具产品往往面临“低频、高流失、续费率差”的漏斗困境。为了全面拉升用户生命周期价值（LTV），对冲获客成本（CAC），本方案打破单一变现壁垒，设计了</w:t>
      </w:r>
      <w:r w:rsidDel="00000000" w:rsidR="00000000" w:rsidRPr="00000000">
        <w:rPr>
          <w:rFonts w:ascii="Arial Unicode MS" w:cs="Arial Unicode MS" w:eastAsia="Arial Unicode MS" w:hAnsi="Arial Unicode MS"/>
          <w:b w:val="1"/>
          <w:bCs w:val="1"/>
          <w:color w:val="2d3748"/>
          <w:rtl w:val="0"/>
        </w:rPr>
        <w:t xml:space="preserve">“PLG（产品驱动增长）引领、双核订阅驱动、长尾按需加餐、To-B深度渗透”</w:t>
      </w:r>
      <w:r w:rsidDel="00000000" w:rsidR="00000000" w:rsidRPr="00000000">
        <w:rPr>
          <w:rFonts w:ascii="Arial Unicode MS" w:cs="Arial Unicode MS" w:eastAsia="Arial Unicode MS" w:hAnsi="Arial Unicode MS"/>
          <w:color w:val="2d3748"/>
          <w:rtl w:val="0"/>
        </w:rPr>
        <w:t xml:space="preserve">的矩阵式商业化变现路径。</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1.1 Freemium免费增值模式的阈值设计</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免费层并不作为主要盈利点，而是作为全网公域流量的“磁铁”。其核心价值在于降低新用户的摩擦成本，快速引导用户触达产品的</w:t>
      </w:r>
      <w:r w:rsidDel="00000000" w:rsidR="00000000" w:rsidRPr="00000000">
        <w:rPr>
          <w:rFonts w:ascii="Arial Unicode MS" w:cs="Arial Unicode MS" w:eastAsia="Arial Unicode MS" w:hAnsi="Arial Unicode MS"/>
          <w:b w:val="1"/>
          <w:bCs w:val="1"/>
          <w:color w:val="2d3748"/>
          <w:rtl w:val="0"/>
        </w:rPr>
        <w:t xml:space="preserve">“Aha Moment（惊喜时刻）”</w:t>
      </w:r>
      <w:r w:rsidDel="00000000" w:rsidR="00000000" w:rsidRPr="00000000">
        <w:rPr>
          <w:rFonts w:ascii="Arial Unicode MS" w:cs="Arial Unicode MS" w:eastAsia="Arial Unicode MS" w:hAnsi="Arial Unicode MS"/>
          <w:color w:val="2d3748"/>
          <w:rtl w:val="0"/>
        </w:rPr>
        <w:t xml:space="preserve">——即通过输入一句话或一个主题，在30秒内自动生成结构极其严密、逻辑完全闭环的PPT文字大纲，并能在线预览带水印的排版视觉。此阶段仅消耗极低成本的大语言模型（LLM）Tokens，产品通过此举最大化留存基数，积累海量长尾用户画像。</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1.2 个人Pro版会员订阅制的价值矩阵</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针对高校学生、独立顾问、中高级职场白领等高频演示文稿制作群体，推出连续包月、包季、包年个人订阅方案。个人Pro会员的底层逻辑在于通过“确定性的周期费用”换取“高额的使用特权”：</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算力定时拨付：</w:t>
      </w:r>
      <w:r w:rsidDel="00000000" w:rsidR="00000000" w:rsidRPr="00000000">
        <w:rPr>
          <w:rFonts w:ascii="Arial Unicode MS" w:cs="Arial Unicode MS" w:eastAsia="Arial Unicode MS" w:hAnsi="Arial Unicode MS"/>
          <w:color w:val="2d3748"/>
          <w:rtl w:val="0"/>
        </w:rPr>
        <w:t xml:space="preserve">每月固定到账500~800基础算力币，完美覆盖日常高频生图及导出需求；</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物理特权通道：</w:t>
      </w:r>
      <w:r w:rsidDel="00000000" w:rsidR="00000000" w:rsidRPr="00000000">
        <w:rPr>
          <w:rFonts w:ascii="Arial Unicode MS" w:cs="Arial Unicode MS" w:eastAsia="Arial Unicode MS" w:hAnsi="Arial Unicode MS"/>
          <w:color w:val="2d3748"/>
          <w:rtl w:val="0"/>
        </w:rPr>
        <w:t xml:space="preserve">多模态扩散模型（Diffusion Model）生图任务自动路由至专属的高配GPU集群，避开免费用户的排队队列，平均生图时长由30秒缩短至5秒以内；</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完全版权与无水印限制：</w:t>
      </w:r>
      <w:r w:rsidDel="00000000" w:rsidR="00000000" w:rsidRPr="00000000">
        <w:rPr>
          <w:rFonts w:ascii="Arial Unicode MS" w:cs="Arial Unicode MS" w:eastAsia="Arial Unicode MS" w:hAnsi="Arial Unicode MS"/>
          <w:color w:val="2d3748"/>
          <w:rtl w:val="0"/>
        </w:rPr>
        <w:t xml:space="preserve">解锁全量高阶动态排版模板，彻底移除所有页面水印，并提供平台官方开具的所生成多模态插图的商业使用授权（Commercial License）。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1.3 团队协作版（Micro-SaaS）的壁垒构建</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针对微型初创企业、自媒体工作室、跨职能项目联合体以及高校科研课题组，推出微型SaaS形式的“团队版（Team Workspace）”。团队版的核心溢价在于从“纯工具价值”转变为</w:t>
      </w:r>
      <w:r w:rsidDel="00000000" w:rsidR="00000000" w:rsidRPr="00000000">
        <w:rPr>
          <w:rFonts w:ascii="Arial Unicode MS" w:cs="Arial Unicode MS" w:eastAsia="Arial Unicode MS" w:hAnsi="Arial Unicode MS"/>
          <w:b w:val="1"/>
          <w:bCs w:val="1"/>
          <w:color w:val="2d3748"/>
          <w:rtl w:val="0"/>
        </w:rPr>
        <w:t xml:space="preserve">“组织资产与协同价值”</w:t>
      </w:r>
      <w:r w:rsidDel="00000000" w:rsidR="00000000" w:rsidRPr="00000000">
        <w:rPr>
          <w:rFonts w:ascii="Arial Unicode MS" w:cs="Arial Unicode MS" w:eastAsia="Arial Unicode MS" w:hAnsi="Arial Unicode MS"/>
          <w:color w:val="2d3748"/>
          <w:rtl w:val="0"/>
        </w:rPr>
        <w:t xml:space="preserv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共享资产库：</w:t>
      </w:r>
      <w:r w:rsidDel="00000000" w:rsidR="00000000" w:rsidRPr="00000000">
        <w:rPr>
          <w:rFonts w:ascii="Arial Unicode MS" w:cs="Arial Unicode MS" w:eastAsia="Arial Unicode MS" w:hAnsi="Arial Unicode MS"/>
          <w:color w:val="2d3748"/>
          <w:rtl w:val="0"/>
        </w:rPr>
        <w:t xml:space="preserve">团队可统一配置并沉淀企业自身的VI视觉识别系统（包含企业专属标准色、字体包、官方Logo及页眉页脚规范），AI智能体在生成排版时会自动强制遵循团队视觉规范；</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多人实时协创：</w:t>
      </w:r>
      <w:r w:rsidDel="00000000" w:rsidR="00000000" w:rsidRPr="00000000">
        <w:rPr>
          <w:rFonts w:ascii="Arial Unicode MS" w:cs="Arial Unicode MS" w:eastAsia="Arial Unicode MS" w:hAnsi="Arial Unicode MS"/>
          <w:color w:val="2d3748"/>
          <w:rtl w:val="0"/>
        </w:rPr>
        <w:t xml:space="preserve">支持多名团队成员在同一个大纲画布上进行异步或同步的协同润色、图片微调，并将大纲一键分发生成不同的演示版本；</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算力池化管理：</w:t>
      </w:r>
      <w:r w:rsidDel="00000000" w:rsidR="00000000" w:rsidRPr="00000000">
        <w:rPr>
          <w:rFonts w:ascii="Arial Unicode MS" w:cs="Arial Unicode MS" w:eastAsia="Arial Unicode MS" w:hAnsi="Arial Unicode MS"/>
          <w:color w:val="2d3748"/>
          <w:rtl w:val="0"/>
        </w:rPr>
        <w:t xml:space="preserve">主账号统一按席位（Seat）付费，团队算力币在池内共享，极大提升企业的综合资源利用率，通过资产与团队协同深度绑定，建立强大的“高迁移成本（Switching Cost）”壁垒。</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1.4 长尾零售加油包与To-B企业定制 API 延展</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为拦截偶发性、重度突发需求（如年终大促、大型竞标汇报）的用户，提供非订阅制的“充值即用”零售包（如9.9元/100算力币）。同时，面向中大型集团企业，提供SLG（销售驱动增长）模式的企业定制级解决方案，支持私有化部署、定制专属AI画风模型，以及通过开放式API与企业内部的知识库（KM系统）、ERP或CRM深度串联，将计费延展至按年度软件许可及调用量混合结算的深水区。</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二、 统一“算力币（Compute Token）”清结算底座机制与精细财务模型</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2d3748"/>
          <w:rtl w:val="0"/>
        </w:rPr>
        <w:t xml:space="preserve">在多模态AI智能体的架构中，后端调用的基础设施极为错综复杂：文本大纲生成依赖于大语言模型的文本输入/输出Tokens，而插图生成则强依赖于高端显卡（如NVIDIA A100/H800）的单精度浮点数GPU渲染时长（Tensor Cores VRAM 占用）。如果直接采用传统的“生成一页PPT多少钱”的粗放模式，极易导致商业毛利的严重扭曲（例如：当用户在单页PPT中连续生成几十张高清图进行筛选时，平台将承受巨大的算力亏损）。因此，本方案建立了科学的</w:t>
      </w:r>
      <w:r w:rsidDel="00000000" w:rsidR="00000000" w:rsidRPr="00000000">
        <w:rPr>
          <w:rFonts w:ascii="Arial Unicode MS" w:cs="Arial Unicode MS" w:eastAsia="Arial Unicode MS" w:hAnsi="Arial Unicode MS"/>
          <w:b w:val="1"/>
          <w:bCs w:val="1"/>
          <w:color w:val="2d3748"/>
          <w:rtl w:val="0"/>
        </w:rPr>
        <w:t xml:space="preserve">平台虚拟代币结算中枢——“算力币”体系</w:t>
      </w:r>
      <w:r w:rsidDel="00000000" w:rsidR="00000000" w:rsidRPr="00000000">
        <w:rPr>
          <w:rFonts w:ascii="Arial Unicode MS" w:cs="Arial Unicode MS" w:eastAsia="Arial Unicode MS" w:hAnsi="Arial Unicode MS"/>
          <w:color w:val="2d3748"/>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2.1 财务锚定与边际毛利控制模型</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基本法币兑换关系设计为：</w:t>
      </w:r>
      <w:r w:rsidDel="00000000" w:rsidR="00000000" w:rsidRPr="00000000">
        <w:rPr>
          <w:rFonts w:ascii="Arial Unicode MS" w:cs="Arial Unicode MS" w:eastAsia="Arial Unicode MS" w:hAnsi="Arial Unicode MS"/>
          <w:b w:val="1"/>
          <w:bCs w:val="1"/>
          <w:color w:val="2d3748"/>
          <w:rtl w:val="0"/>
        </w:rPr>
        <w:t xml:space="preserve">1 元人民币（RMB）= 10 算力币</w:t>
      </w:r>
      <w:r w:rsidDel="00000000" w:rsidR="00000000" w:rsidRPr="00000000">
        <w:rPr>
          <w:rFonts w:ascii="Arial Unicode MS" w:cs="Arial Unicode MS" w:eastAsia="Arial Unicode MS" w:hAnsi="Arial Unicode MS"/>
          <w:color w:val="2d3748"/>
          <w:rtl w:val="0"/>
        </w:rPr>
        <w:t xml:space="preserve">。后端财务模型以如下公式为定价红线，确保平台的综合边际毛利率（Gross Margin）稳妥控制在 </w:t>
      </w:r>
      <w:r w:rsidDel="00000000" w:rsidR="00000000" w:rsidRPr="00000000">
        <w:rPr>
          <w:rFonts w:ascii="Arial" w:cs="Arial" w:eastAsia="Arial" w:hAnsi="Arial"/>
          <w:b w:val="1"/>
          <w:bCs w:val="1"/>
          <w:color w:val="2d3748"/>
          <w:rtl w:val="0"/>
        </w:rPr>
        <w:t xml:space="preserve">60%~70%</w:t>
      </w:r>
      <w:r w:rsidDel="00000000" w:rsidR="00000000" w:rsidRPr="00000000">
        <w:rPr>
          <w:rFonts w:ascii="Arial Unicode MS" w:cs="Arial Unicode MS" w:eastAsia="Arial Unicode MS" w:hAnsi="Arial Unicode MS"/>
          <w:color w:val="2d3748"/>
          <w:rtl w:val="0"/>
        </w:rPr>
        <w:t xml:space="preserve"> 以上：</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Courier" w:cs="Courier" w:eastAsia="Courier" w:hAnsi="Courier"/>
          <w:color w:val="1a365d"/>
          <w:shd w:fill="ebf8ff" w:val="clear"/>
        </w:rPr>
      </w:pPr>
      <w:r w:rsidDel="00000000" w:rsidR="00000000" w:rsidRPr="00000000">
        <w:rPr>
          <w:rFonts w:ascii="Courier" w:cs="Courier" w:eastAsia="Courier" w:hAnsi="Courier"/>
          <w:color w:val="1a365d"/>
          <w:shd w:fill="ebf8ff" w:val="clear"/>
          <w:rtl w:val="0"/>
        </w:rPr>
        <w:t xml:space="preserve">单次操作算力币消耗数额 = [ (后端模型单次调用硬件成本 / 汇率换算) / (1 - 目标毛利率) ] * 10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通过这套高度抽象的数字点数，前端成功屏蔽了极其复杂的底层技术参数，使用户对费用开支具备直观、可预测的感知，大幅削弱了用户的“每一步操作都在掏钱”的防备与抵触心理。</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2.2 动态供应链风险对冲与定价弹性</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当上游云服务商下调API价格（例如大模型厂商发起的价格战），或平台引入更低成本、高效率的开源自建大模型（如通过Ollama/vLLM本地部署微调模型）时，平台无需频繁变更前端的会员包价格及充值包面额，只需动态微调特定操作的算力币扣除权重，即可将成本红利沉淀为平台的净利润，或者以“算力大放送”的形式进行精细的动态运营让利。</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三、 计费颗粒度与多维功能消耗矩阵（精细拆解版）</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color w:val="2d374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2d3748"/>
          <w:rtl w:val="0"/>
        </w:rPr>
        <w:t xml:space="preserve">针对智能体内部的各种精细化高低频操作场景，定制如下科学合理的阶梯消耗矩阵：</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123.1999999999998"/>
        <w:gridCol w:w="2620.7999999999997"/>
        <w:gridCol w:w="1404"/>
        <w:gridCol w:w="4212"/>
        <w:tblGridChange w:id="0">
          <w:tblGrid>
            <w:gridCol w:w="1123.1999999999998"/>
            <w:gridCol w:w="2620.7999999999997"/>
            <w:gridCol w:w="1404"/>
            <w:gridCol w:w="4212"/>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c5282"/>
                <w:sz w:val="18"/>
                <w:szCs w:val="18"/>
                <w:shd w:fill="auto" w:val="clear"/>
              </w:rPr>
            </w:pPr>
            <w:r w:rsidDel="00000000" w:rsidR="00000000" w:rsidRPr="00000000">
              <w:rPr>
                <w:rFonts w:ascii="Arial Unicode MS" w:cs="Arial Unicode MS" w:eastAsia="Arial Unicode MS" w:hAnsi="Arial Unicode MS"/>
                <w:b w:val="1"/>
                <w:bCs w:val="1"/>
                <w:color w:val="2c5282"/>
                <w:sz w:val="18"/>
                <w:szCs w:val="18"/>
                <w:shd w:fill="auto" w:val="clear"/>
                <w:rtl w:val="0"/>
              </w:rPr>
              <w:t xml:space="preserve">功能层级</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c5282"/>
                <w:sz w:val="18"/>
                <w:szCs w:val="18"/>
                <w:shd w:fill="auto" w:val="clear"/>
              </w:rPr>
            </w:pPr>
            <w:r w:rsidDel="00000000" w:rsidR="00000000" w:rsidRPr="00000000">
              <w:rPr>
                <w:rFonts w:ascii="Arial Unicode MS" w:cs="Arial Unicode MS" w:eastAsia="Arial Unicode MS" w:hAnsi="Arial Unicode MS"/>
                <w:b w:val="1"/>
                <w:bCs w:val="1"/>
                <w:color w:val="2c5282"/>
                <w:sz w:val="18"/>
                <w:szCs w:val="18"/>
                <w:shd w:fill="auto" w:val="clear"/>
                <w:rtl w:val="0"/>
              </w:rPr>
              <w:t xml:space="preserve">用户核心操作场景及深度定义</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color w:val="2c5282"/>
                <w:sz w:val="18"/>
                <w:szCs w:val="18"/>
                <w:shd w:fill="auto" w:val="clear"/>
              </w:rPr>
            </w:pPr>
            <w:r w:rsidDel="00000000" w:rsidR="00000000" w:rsidRPr="00000000">
              <w:rPr>
                <w:rFonts w:ascii="Arial Unicode MS" w:cs="Arial Unicode MS" w:eastAsia="Arial Unicode MS" w:hAnsi="Arial Unicode MS"/>
                <w:b w:val="1"/>
                <w:bCs w:val="1"/>
                <w:color w:val="2c5282"/>
                <w:sz w:val="18"/>
                <w:szCs w:val="18"/>
                <w:shd w:fill="auto" w:val="clear"/>
                <w:rtl w:val="0"/>
              </w:rPr>
              <w:t xml:space="preserve">单次消耗(算力币)</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c5282"/>
                <w:sz w:val="18"/>
                <w:szCs w:val="18"/>
                <w:shd w:fill="auto" w:val="clear"/>
              </w:rPr>
            </w:pPr>
            <w:r w:rsidDel="00000000" w:rsidR="00000000" w:rsidRPr="00000000">
              <w:rPr>
                <w:rFonts w:ascii="Arial Unicode MS" w:cs="Arial Unicode MS" w:eastAsia="Arial Unicode MS" w:hAnsi="Arial Unicode MS"/>
                <w:b w:val="1"/>
                <w:bCs w:val="1"/>
                <w:color w:val="2c5282"/>
                <w:sz w:val="18"/>
                <w:szCs w:val="18"/>
                <w:shd w:fill="auto" w:val="clear"/>
                <w:rtl w:val="0"/>
              </w:rPr>
              <w:t xml:space="preserve">底层技术支撑与精细化商业逻辑解析</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vMerge w:val="restart"/>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核心文本层</w:t>
            </w:r>
          </w:p>
        </w:tc>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一句话/长文本/文档输入，AI智能生成高结构化PPT大纲及页面故事线框架</w:t>
            </w:r>
          </w:p>
        </w:tc>
        <w:tc>
          <w:tcPr>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2b6cb0"/>
                <w:sz w:val="18"/>
                <w:szCs w:val="18"/>
              </w:rPr>
            </w:pPr>
            <w:r w:rsidDel="00000000" w:rsidR="00000000" w:rsidRPr="00000000">
              <w:rPr>
                <w:rFonts w:ascii="Arial Unicode MS" w:cs="Arial Unicode MS" w:eastAsia="Arial Unicode MS" w:hAnsi="Arial Unicode MS"/>
                <w:color w:val="2b6cb0"/>
                <w:sz w:val="18"/>
                <w:szCs w:val="18"/>
                <w:rtl w:val="0"/>
              </w:rPr>
              <w:t xml:space="preserve">1 / 次</w:t>
            </w:r>
          </w:p>
        </w:tc>
        <w:tc>
          <w:tcPr>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5568"/>
                <w:sz w:val="18"/>
                <w:szCs w:val="18"/>
              </w:rPr>
            </w:pPr>
            <w:r w:rsidDel="00000000" w:rsidR="00000000" w:rsidRPr="00000000">
              <w:rPr>
                <w:rFonts w:ascii="Arial Unicode MS" w:cs="Arial Unicode MS" w:eastAsia="Arial Unicode MS" w:hAnsi="Arial Unicode MS"/>
                <w:color w:val="4a5568"/>
                <w:sz w:val="18"/>
                <w:szCs w:val="18"/>
                <w:rtl w:val="0"/>
              </w:rPr>
              <w:t xml:space="preserve">主要产生大模型Inference成本。以超低计费支持用户进行高频的输入与反复生成，打消用户的心理顾虑，全面做大平台的日活跃大纲数。</w:t>
            </w:r>
          </w:p>
        </w:tc>
      </w:tr>
      <w:tr>
        <w:trPr>
          <w:cantSplit w:val="0"/>
          <w:tblHeader w:val="0"/>
        </w:trPr>
        <w:tc>
          <w:tcPr>
            <w:vMerge w:val="continue"/>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核心文本层</w:t>
            </w:r>
          </w:p>
        </w:tc>
        <w:tc>
          <w:tcPr>
            <w:tcBorders>
              <w:lef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选中特定页面或大纲节点，执行深度文案润色、字数精简/扩写或多语种翻译</w:t>
            </w:r>
          </w:p>
        </w:tc>
        <w:tc>
          <w:tcPr>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2b6cb0"/>
                <w:sz w:val="18"/>
                <w:szCs w:val="18"/>
              </w:rPr>
            </w:pPr>
            <w:r w:rsidDel="00000000" w:rsidR="00000000" w:rsidRPr="00000000">
              <w:rPr>
                <w:rFonts w:ascii="Arial Unicode MS" w:cs="Arial Unicode MS" w:eastAsia="Arial Unicode MS" w:hAnsi="Arial Unicode MS"/>
                <w:color w:val="2b6cb0"/>
                <w:sz w:val="18"/>
                <w:szCs w:val="18"/>
                <w:rtl w:val="0"/>
              </w:rPr>
              <w:t xml:space="preserve">0.5 / 次</w:t>
            </w:r>
          </w:p>
        </w:tc>
        <w:tc>
          <w:tcPr>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5568"/>
                <w:sz w:val="18"/>
                <w:szCs w:val="18"/>
              </w:rPr>
            </w:pPr>
            <w:r w:rsidDel="00000000" w:rsidR="00000000" w:rsidRPr="00000000">
              <w:rPr>
                <w:rFonts w:ascii="Arial Unicode MS" w:cs="Arial Unicode MS" w:eastAsia="Arial Unicode MS" w:hAnsi="Arial Unicode MS"/>
                <w:color w:val="4a5568"/>
                <w:sz w:val="18"/>
                <w:szCs w:val="18"/>
                <w:rtl w:val="0"/>
              </w:rPr>
              <w:t xml:space="preserve">微量Tokens调用。通过极低的门槛促使用户在平台内完成精细化修改，拉长单次会话的生命周期（Session Length）。</w:t>
            </w:r>
          </w:p>
        </w:tc>
      </w:tr>
      <w:tr>
        <w:trPr>
          <w:cantSplit w:val="0"/>
          <w:tblHeader w:val="0"/>
        </w:trPr>
        <w:tc>
          <w:tcPr>
            <w:vMerge w:val="restart"/>
            <w:shd w:fill="f7fafc"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shd w:fill="auto" w:val="clear"/>
              </w:rPr>
            </w:pPr>
            <w:r w:rsidDel="00000000" w:rsidR="00000000" w:rsidRPr="00000000">
              <w:rPr>
                <w:rFonts w:ascii="Arial Unicode MS" w:cs="Arial Unicode MS" w:eastAsia="Arial Unicode MS" w:hAnsi="Arial Unicode MS"/>
                <w:b w:val="1"/>
                <w:bCs w:val="1"/>
                <w:sz w:val="18"/>
                <w:szCs w:val="18"/>
                <w:shd w:fill="auto" w:val="clear"/>
                <w:rtl w:val="0"/>
              </w:rPr>
              <w:t xml:space="preserve">多模态创意层</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根据大纲语义及视觉风格，利用多模态模型（如Flux/SD3）一键自动渲染生成高契合度的定制PPT插图</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rFonts w:ascii="Arial" w:cs="Arial" w:eastAsia="Arial" w:hAnsi="Arial"/>
                <w:color w:val="2b6cb0"/>
                <w:sz w:val="18"/>
                <w:szCs w:val="18"/>
                <w:shd w:fill="auto" w:val="clear"/>
              </w:rPr>
            </w:pPr>
            <w:r w:rsidDel="00000000" w:rsidR="00000000" w:rsidRPr="00000000">
              <w:rPr>
                <w:rFonts w:ascii="Arial Unicode MS" w:cs="Arial Unicode MS" w:eastAsia="Arial Unicode MS" w:hAnsi="Arial Unicode MS"/>
                <w:color w:val="2b6cb0"/>
                <w:sz w:val="18"/>
                <w:szCs w:val="18"/>
                <w:shd w:fill="auto" w:val="clear"/>
                <w:rtl w:val="0"/>
              </w:rPr>
              <w:t xml:space="preserve">5 / 张 (标准通道)</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2b6cb0"/>
                <w:sz w:val="18"/>
                <w:szCs w:val="18"/>
                <w:shd w:fill="auto" w:val="clear"/>
              </w:rPr>
            </w:pPr>
            <w:r w:rsidDel="00000000" w:rsidR="00000000" w:rsidRPr="00000000">
              <w:rPr>
                <w:rFonts w:ascii="Arial Unicode MS" w:cs="Arial Unicode MS" w:eastAsia="Arial Unicode MS" w:hAnsi="Arial Unicode MS"/>
                <w:color w:val="2b6cb0"/>
                <w:sz w:val="18"/>
                <w:szCs w:val="18"/>
                <w:shd w:fill="auto" w:val="clear"/>
                <w:rtl w:val="0"/>
              </w:rPr>
              <w:t xml:space="preserve">10 / 张 (极速通道)</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5568"/>
                <w:sz w:val="18"/>
                <w:szCs w:val="18"/>
                <w:shd w:fill="auto" w:val="clear"/>
              </w:rPr>
            </w:pPr>
            <w:r w:rsidDel="00000000" w:rsidR="00000000" w:rsidRPr="00000000">
              <w:rPr>
                <w:rFonts w:ascii="Arial Unicode MS" w:cs="Arial Unicode MS" w:eastAsia="Arial Unicode MS" w:hAnsi="Arial Unicode MS"/>
                <w:b w:val="1"/>
                <w:bCs w:val="1"/>
                <w:color w:val="4a5568"/>
                <w:sz w:val="18"/>
                <w:szCs w:val="18"/>
                <w:shd w:fill="auto" w:val="clear"/>
                <w:rtl w:val="0"/>
              </w:rPr>
              <w:t xml:space="preserve">第一核心利润区。</w:t>
            </w:r>
            <w:r w:rsidDel="00000000" w:rsidR="00000000" w:rsidRPr="00000000">
              <w:rPr>
                <w:rFonts w:ascii="Arial Unicode MS" w:cs="Arial Unicode MS" w:eastAsia="Arial Unicode MS" w:hAnsi="Arial Unicode MS"/>
                <w:color w:val="4a5568"/>
                <w:sz w:val="18"/>
                <w:szCs w:val="18"/>
                <w:shd w:fill="auto" w:val="clear"/>
                <w:rtl w:val="0"/>
              </w:rPr>
              <w:t xml:space="preserve">GPU强力介入。通过划分通道，对免费用户实施合理的“排队等待控制”，对高溢价意愿的急性子用户实行双倍计费扣减，平抑高峰期算力峰值。</w:t>
            </w:r>
          </w:p>
        </w:tc>
      </w:tr>
      <w:tr>
        <w:trPr>
          <w:cantSplit w:val="0"/>
          <w:tblHeader w:val="0"/>
        </w:trPr>
        <w:tc>
          <w:tcPr>
            <w:vMerge w:val="continue"/>
            <w:shd w:fill="f7fafc"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shd w:fill="auto" w:val="clear"/>
              </w:rPr>
            </w:pPr>
            <w:r w:rsidDel="00000000" w:rsidR="00000000" w:rsidRPr="00000000">
              <w:rPr>
                <w:rFonts w:ascii="Arial Unicode MS" w:cs="Arial Unicode MS" w:eastAsia="Arial Unicode MS" w:hAnsi="Arial Unicode MS"/>
                <w:b w:val="1"/>
                <w:bCs w:val="1"/>
                <w:sz w:val="18"/>
                <w:szCs w:val="18"/>
                <w:shd w:fill="auto" w:val="clear"/>
                <w:rtl w:val="0"/>
              </w:rPr>
              <w:t xml:space="preserve">多模态创意层</w:t>
            </w:r>
          </w:p>
        </w:tc>
        <w:tc>
          <w:tcPr>
            <w:tcBorders>
              <w:lef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对生成的图片资产进行超清分辨率无损放大(Upscale)或进行框选局部智能重绘</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2b6cb0"/>
                <w:sz w:val="18"/>
                <w:szCs w:val="18"/>
                <w:shd w:fill="auto" w:val="clear"/>
              </w:rPr>
            </w:pPr>
            <w:r w:rsidDel="00000000" w:rsidR="00000000" w:rsidRPr="00000000">
              <w:rPr>
                <w:rFonts w:ascii="Arial Unicode MS" w:cs="Arial Unicode MS" w:eastAsia="Arial Unicode MS" w:hAnsi="Arial Unicode MS"/>
                <w:color w:val="2b6cb0"/>
                <w:sz w:val="18"/>
                <w:szCs w:val="18"/>
                <w:shd w:fill="auto" w:val="clear"/>
                <w:rtl w:val="0"/>
              </w:rPr>
              <w:t xml:space="preserve">3 / 次</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5568"/>
                <w:sz w:val="18"/>
                <w:szCs w:val="18"/>
                <w:shd w:fill="auto" w:val="clear"/>
              </w:rPr>
            </w:pPr>
            <w:r w:rsidDel="00000000" w:rsidR="00000000" w:rsidRPr="00000000">
              <w:rPr>
                <w:rFonts w:ascii="Arial Unicode MS" w:cs="Arial Unicode MS" w:eastAsia="Arial Unicode MS" w:hAnsi="Arial Unicode MS"/>
                <w:color w:val="4a5568"/>
                <w:sz w:val="18"/>
                <w:szCs w:val="18"/>
                <w:shd w:fill="auto" w:val="clear"/>
                <w:rtl w:val="0"/>
              </w:rPr>
              <w:t xml:space="preserve">针对高端商务及设计级别的精细定制化诉求，对边际GPU重度消耗实施合理补偿，确立产品专业化壁垒的心理定位。</w:t>
            </w:r>
          </w:p>
        </w:tc>
      </w:tr>
      <w:tr>
        <w:trPr>
          <w:cantSplit w:val="0"/>
          <w:tblHeader w:val="0"/>
        </w:trPr>
        <w:tc>
          <w:tcPr>
            <w:vMerge w:val="continue"/>
            <w:shd w:fill="f7fafc"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shd w:fill="auto" w:val="clear"/>
              </w:rPr>
            </w:pPr>
            <w:r w:rsidDel="00000000" w:rsidR="00000000" w:rsidRPr="00000000">
              <w:rPr>
                <w:rFonts w:ascii="Arial Unicode MS" w:cs="Arial Unicode MS" w:eastAsia="Arial Unicode MS" w:hAnsi="Arial Unicode MS"/>
                <w:b w:val="1"/>
                <w:bCs w:val="1"/>
                <w:sz w:val="18"/>
                <w:szCs w:val="18"/>
                <w:shd w:fill="auto" w:val="clear"/>
                <w:rtl w:val="0"/>
              </w:rPr>
              <w:t xml:space="preserve">多模态创意层</w:t>
            </w:r>
          </w:p>
        </w:tc>
        <w:tc>
          <w:tcPr>
            <w:tcBorders>
              <w:lef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智能图像矢量化（将生成的位图插图一键转换为可编辑的SVG矢量格式）</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2b6cb0"/>
                <w:sz w:val="18"/>
                <w:szCs w:val="18"/>
                <w:shd w:fill="auto" w:val="clear"/>
              </w:rPr>
            </w:pPr>
            <w:r w:rsidDel="00000000" w:rsidR="00000000" w:rsidRPr="00000000">
              <w:rPr>
                <w:rFonts w:ascii="Arial Unicode MS" w:cs="Arial Unicode MS" w:eastAsia="Arial Unicode MS" w:hAnsi="Arial Unicode MS"/>
                <w:color w:val="2b6cb0"/>
                <w:sz w:val="18"/>
                <w:szCs w:val="18"/>
                <w:shd w:fill="auto" w:val="clear"/>
                <w:rtl w:val="0"/>
              </w:rPr>
              <w:t xml:space="preserve">4 / 次</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5568"/>
                <w:sz w:val="18"/>
                <w:szCs w:val="18"/>
                <w:shd w:fill="auto" w:val="clear"/>
              </w:rPr>
            </w:pPr>
            <w:r w:rsidDel="00000000" w:rsidR="00000000" w:rsidRPr="00000000">
              <w:rPr>
                <w:rFonts w:ascii="Arial Unicode MS" w:cs="Arial Unicode MS" w:eastAsia="Arial Unicode MS" w:hAnsi="Arial Unicode MS"/>
                <w:color w:val="4a5568"/>
                <w:sz w:val="18"/>
                <w:szCs w:val="18"/>
                <w:shd w:fill="auto" w:val="clear"/>
                <w:rtl w:val="0"/>
              </w:rPr>
              <w:t xml:space="preserve">高级排版的核心痛点功能。省去了用户使用第三方复杂软件的繁琐路径，提供高溢价阶梯价值，溢价率极高。</w:t>
            </w:r>
          </w:p>
        </w:tc>
      </w:tr>
      <w:tr>
        <w:trPr>
          <w:cantSplit w:val="0"/>
          <w:tblHeader w:val="0"/>
        </w:trPr>
        <w:tc>
          <w:tcPr>
            <w:vMerge w:val="restart"/>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资产成果导出层</w:t>
            </w:r>
          </w:p>
        </w:tc>
        <w:tc>
          <w:tcPr>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将设计成果渲染生成带平台显式防伪水印的低清PDF、网页版在线预览或静态长图</w:t>
            </w:r>
          </w:p>
        </w:tc>
        <w:tc>
          <w:tcPr>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2b6cb0"/>
                <w:sz w:val="18"/>
                <w:szCs w:val="18"/>
              </w:rPr>
            </w:pPr>
            <w:r w:rsidDel="00000000" w:rsidR="00000000" w:rsidRPr="00000000">
              <w:rPr>
                <w:rFonts w:ascii="Arial Unicode MS" w:cs="Arial Unicode MS" w:eastAsia="Arial Unicode MS" w:hAnsi="Arial Unicode MS"/>
                <w:color w:val="2b6cb0"/>
                <w:sz w:val="18"/>
                <w:szCs w:val="18"/>
                <w:rtl w:val="0"/>
              </w:rPr>
              <w:t xml:space="preserve">0 (完全免费)</w:t>
            </w:r>
          </w:p>
        </w:tc>
        <w:tc>
          <w:tcPr>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5568"/>
                <w:sz w:val="18"/>
                <w:szCs w:val="18"/>
              </w:rPr>
            </w:pPr>
            <w:r w:rsidDel="00000000" w:rsidR="00000000" w:rsidRPr="00000000">
              <w:rPr>
                <w:rFonts w:ascii="Arial Unicode MS" w:cs="Arial Unicode MS" w:eastAsia="Arial Unicode MS" w:hAnsi="Arial Unicode MS"/>
                <w:color w:val="4a5568"/>
                <w:sz w:val="18"/>
                <w:szCs w:val="18"/>
                <w:rtl w:val="0"/>
              </w:rPr>
              <w:t xml:space="preserve">只在前端和基础渲染层运行，不占用核心输出资产。确保用户能够看见最终成果，维持免费转付费漏洞的稳定进量，具有极强的传播效应。</w:t>
            </w:r>
          </w:p>
        </w:tc>
      </w:tr>
      <w:tr>
        <w:trPr>
          <w:cantSplit w:val="0"/>
          <w:tblHeader w:val="0"/>
        </w:trPr>
        <w:tc>
          <w:tcPr>
            <w:vMerge w:val="continue"/>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资产成果导出层</w:t>
            </w:r>
          </w:p>
        </w:tc>
        <w:tc>
          <w:tcPr>
            <w:tcBorders>
              <w:left w:color="cbd5e0" w:space="0" w:sz="6" w:val="single"/>
            </w:tcBorders>
            <w:shd w:fill="fffaf0"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dd6b20"/>
                <w:sz w:val="18"/>
                <w:szCs w:val="18"/>
                <w:shd w:fill="auto" w:val="clear"/>
              </w:rPr>
            </w:pPr>
            <w:r w:rsidDel="00000000" w:rsidR="00000000" w:rsidRPr="00000000">
              <w:rPr>
                <w:rFonts w:ascii="Arial Unicode MS" w:cs="Arial Unicode MS" w:eastAsia="Arial Unicode MS" w:hAnsi="Arial Unicode MS"/>
                <w:b w:val="1"/>
                <w:bCs w:val="1"/>
                <w:color w:val="dd6b20"/>
                <w:sz w:val="18"/>
                <w:szCs w:val="18"/>
                <w:shd w:fill="auto" w:val="clear"/>
                <w:rtl w:val="0"/>
              </w:rPr>
              <w:t xml:space="preserve">移除所有水印，一键导出为原生、全可编辑、带动画的现代PowerPoint文件(.pptx)</w:t>
            </w:r>
          </w:p>
        </w:tc>
        <w:tc>
          <w:tcPr>
            <w:shd w:fill="fffaf0"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dd6b20"/>
                <w:sz w:val="18"/>
                <w:szCs w:val="18"/>
                <w:shd w:fill="auto" w:val="clear"/>
              </w:rPr>
            </w:pPr>
            <w:r w:rsidDel="00000000" w:rsidR="00000000" w:rsidRPr="00000000">
              <w:rPr>
                <w:rFonts w:ascii="Arial Unicode MS" w:cs="Arial Unicode MS" w:eastAsia="Arial Unicode MS" w:hAnsi="Arial Unicode MS"/>
                <w:b w:val="1"/>
                <w:bCs w:val="1"/>
                <w:color w:val="dd6b20"/>
                <w:sz w:val="18"/>
                <w:szCs w:val="18"/>
                <w:shd w:fill="auto" w:val="clear"/>
                <w:rtl w:val="0"/>
              </w:rPr>
              <w:t xml:space="preserve">30 / 份</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color w:val="dd6b20"/>
                <w:sz w:val="18"/>
                <w:szCs w:val="18"/>
                <w:shd w:fill="auto" w:val="clear"/>
              </w:rPr>
            </w:pPr>
            <w:r w:rsidDel="00000000" w:rsidR="00000000" w:rsidRPr="00000000">
              <w:rPr>
                <w:rFonts w:ascii="Arial Unicode MS" w:cs="Arial Unicode MS" w:eastAsia="Arial Unicode MS" w:hAnsi="Arial Unicode MS"/>
                <w:b w:val="1"/>
                <w:bCs w:val="1"/>
                <w:color w:val="dd6b20"/>
                <w:sz w:val="18"/>
                <w:szCs w:val="18"/>
                <w:shd w:fill="auto" w:val="clear"/>
                <w:rtl w:val="0"/>
              </w:rPr>
              <w:t xml:space="preserve">(个人Pro/团队版免计费)</w:t>
            </w:r>
          </w:p>
        </w:tc>
        <w:tc>
          <w:tcPr>
            <w:shd w:fill="fffaf0"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5568"/>
                <w:sz w:val="18"/>
                <w:szCs w:val="18"/>
                <w:shd w:fill="auto" w:val="clear"/>
              </w:rPr>
            </w:pPr>
            <w:r w:rsidDel="00000000" w:rsidR="00000000" w:rsidRPr="00000000">
              <w:rPr>
                <w:rFonts w:ascii="Arial Unicode MS" w:cs="Arial Unicode MS" w:eastAsia="Arial Unicode MS" w:hAnsi="Arial Unicode MS"/>
                <w:b w:val="1"/>
                <w:bCs w:val="1"/>
                <w:color w:val="4a5568"/>
                <w:sz w:val="18"/>
                <w:szCs w:val="18"/>
                <w:shd w:fill="auto" w:val="clear"/>
                <w:rtl w:val="0"/>
              </w:rPr>
              <w:t xml:space="preserve">终极变现关卡，绝对的刚需痛点。</w:t>
            </w:r>
            <w:r w:rsidDel="00000000" w:rsidR="00000000" w:rsidRPr="00000000">
              <w:rPr>
                <w:rFonts w:ascii="Arial Unicode MS" w:cs="Arial Unicode MS" w:eastAsia="Arial Unicode MS" w:hAnsi="Arial Unicode MS"/>
                <w:color w:val="4a5568"/>
                <w:sz w:val="18"/>
                <w:szCs w:val="18"/>
                <w:shd w:fill="auto" w:val="clear"/>
                <w:rtl w:val="0"/>
              </w:rPr>
              <w:t xml:space="preserve">卡住用户“交付汇报”前的最后一公里，迫使用户在“单次付费（3元）”与“包月订阅（19.9元首月）”之间做出选择，大幅度缩短付费决策周期。</w:t>
            </w:r>
          </w:p>
        </w:tc>
      </w:tr>
      <w:tr>
        <w:trPr>
          <w:cantSplit w:val="0"/>
          <w:tblHeader w:val="0"/>
        </w:trPr>
        <w:tc>
          <w:tcPr>
            <w:vMerge w:val="continue"/>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资产成果导出层</w:t>
            </w:r>
          </w:p>
        </w:tc>
        <w:tc>
          <w:tcPr>
            <w:tcBorders>
              <w:left w:color="cbd5e0" w:space="0" w:sz="6" w:val="single"/>
            </w:tcBorders>
            <w:shd w:fill="fffaf0"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dd6b20"/>
                <w:sz w:val="18"/>
                <w:szCs w:val="18"/>
                <w:shd w:fill="auto" w:val="clear"/>
              </w:rPr>
            </w:pPr>
            <w:r w:rsidDel="00000000" w:rsidR="00000000" w:rsidRPr="00000000">
              <w:rPr>
                <w:rFonts w:ascii="Arial Unicode MS" w:cs="Arial Unicode MS" w:eastAsia="Arial Unicode MS" w:hAnsi="Arial Unicode MS"/>
                <w:b w:val="1"/>
                <w:bCs w:val="1"/>
                <w:color w:val="dd6b20"/>
                <w:sz w:val="18"/>
                <w:szCs w:val="18"/>
                <w:shd w:fill="auto" w:val="clear"/>
                <w:rtl w:val="0"/>
              </w:rPr>
              <w:t xml:space="preserve">基于生成的PPT内容自动匹配AI虚拟人演讲短视频、配套生成高度拟真的解说音频大礼包</w:t>
            </w:r>
          </w:p>
        </w:tc>
        <w:tc>
          <w:tcPr>
            <w:shd w:fill="fffaf0"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dd6b20"/>
                <w:sz w:val="18"/>
                <w:szCs w:val="18"/>
                <w:shd w:fill="auto" w:val="clear"/>
              </w:rPr>
            </w:pPr>
            <w:r w:rsidDel="00000000" w:rsidR="00000000" w:rsidRPr="00000000">
              <w:rPr>
                <w:rFonts w:ascii="Arial Unicode MS" w:cs="Arial Unicode MS" w:eastAsia="Arial Unicode MS" w:hAnsi="Arial Unicode MS"/>
                <w:b w:val="1"/>
                <w:bCs w:val="1"/>
                <w:color w:val="dd6b20"/>
                <w:sz w:val="18"/>
                <w:szCs w:val="18"/>
                <w:shd w:fill="auto" w:val="clear"/>
                <w:rtl w:val="0"/>
              </w:rPr>
              <w:t xml:space="preserve">50 / 份</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color w:val="dd6b20"/>
                <w:sz w:val="18"/>
                <w:szCs w:val="18"/>
                <w:shd w:fill="auto" w:val="clear"/>
              </w:rPr>
            </w:pPr>
            <w:r w:rsidDel="00000000" w:rsidR="00000000" w:rsidRPr="00000000">
              <w:rPr>
                <w:rFonts w:ascii="Arial Unicode MS" w:cs="Arial Unicode MS" w:eastAsia="Arial Unicode MS" w:hAnsi="Arial Unicode MS"/>
                <w:b w:val="1"/>
                <w:bCs w:val="1"/>
                <w:color w:val="dd6b20"/>
                <w:sz w:val="18"/>
                <w:szCs w:val="18"/>
                <w:shd w:fill="auto" w:val="clear"/>
                <w:rtl w:val="0"/>
              </w:rPr>
              <w:t xml:space="preserve">(订阅用户尊享5折)</w:t>
            </w:r>
          </w:p>
        </w:tc>
        <w:tc>
          <w:tcPr>
            <w:shd w:fill="fffaf0"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5568"/>
                <w:sz w:val="18"/>
                <w:szCs w:val="18"/>
                <w:shd w:fill="auto" w:val="clear"/>
              </w:rPr>
            </w:pPr>
            <w:r w:rsidDel="00000000" w:rsidR="00000000" w:rsidRPr="00000000">
              <w:rPr>
                <w:rFonts w:ascii="Arial Unicode MS" w:cs="Arial Unicode MS" w:eastAsia="Arial Unicode MS" w:hAnsi="Arial Unicode MS"/>
                <w:color w:val="4a5568"/>
                <w:sz w:val="18"/>
                <w:szCs w:val="18"/>
                <w:shd w:fill="auto" w:val="clear"/>
                <w:rtl w:val="0"/>
              </w:rPr>
              <w:t xml:space="preserve">面向泛自媒体人、微商招商及企业线上培训场景的极其硬核的高阶增值服务，通过多模态视听矩阵组合，打造极高的复购可能。</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before="150"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四、 用户全生命周期运营驱动（AARRR增长黑客模型）</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2d3748"/>
          <w:rtl w:val="0"/>
        </w:rPr>
        <w:t xml:space="preserve">精细化的计费规则若要避免流于表面，必须深刻嵌入到契合C端心理学的增长模型中，建立可持续的用户行为诱导闭环。</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4.1 获客与激活（Acquisition &amp; Activation）：冷启动的“黄金50算力币”拆解</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新用户首次通过微信生态或手机号注册成功，系统账户立即自动到账“50算力币体验代币”。这并非盲目的无门槛赠送，而是经过严格精细算力路径测算的</w:t>
      </w:r>
      <w:r w:rsidDel="00000000" w:rsidR="00000000" w:rsidRPr="00000000">
        <w:rPr>
          <w:rFonts w:ascii="Arial Unicode MS" w:cs="Arial Unicode MS" w:eastAsia="Arial Unicode MS" w:hAnsi="Arial Unicode MS"/>
          <w:b w:val="1"/>
          <w:bCs w:val="1"/>
          <w:color w:val="2d3748"/>
          <w:rtl w:val="0"/>
        </w:rPr>
        <w:t xml:space="preserve">“黄金体验额度”</w:t>
      </w:r>
      <w:r w:rsidDel="00000000" w:rsidR="00000000" w:rsidRPr="00000000">
        <w:rPr>
          <w:rFonts w:ascii="Arial Unicode MS" w:cs="Arial Unicode MS" w:eastAsia="Arial Unicode MS" w:hAnsi="Arial Unicode MS"/>
          <w:color w:val="2d3748"/>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ind w:left="300" w:firstLine="0"/>
        <w:rPr>
          <w:rFonts w:ascii="Arial" w:cs="Arial" w:eastAsia="Arial" w:hAnsi="Arial"/>
          <w:i w:val="1"/>
          <w:iCs w:val="1"/>
          <w:color w:val="2d3748"/>
        </w:rPr>
      </w:pPr>
      <w:r w:rsidDel="00000000" w:rsidR="00000000" w:rsidRPr="00000000">
        <w:rPr>
          <w:rFonts w:ascii="Arial Unicode MS" w:cs="Arial Unicode MS" w:eastAsia="Arial Unicode MS" w:hAnsi="Arial Unicode MS"/>
          <w:i w:val="1"/>
          <w:iCs w:val="1"/>
          <w:color w:val="2d3748"/>
          <w:rtl w:val="0"/>
        </w:rPr>
        <w:t xml:space="preserve">50算力币 = 1次复杂PPT主题大纲精细化生成（消耗1币）+ 4张高规格多模态概念插图创作（消耗20币）+ 1次无水印可编辑PPTX物理导出（消耗30币）</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通过这一精巧的额度设计，新用户在完全不需要绑卡或掏钱的前提下，能够完整、流畅地走完产品“输入-生成-微调-下载”的全部价值闭环，获取实打实的PPT成果。这种即时且充足的正向反馈能最大化提升注册激活率（Activation Rate），迅速建立对产品的核心信任。</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4.2 留存与转介（Retention &amp; Referral）：PLG模式下的双向裂变增长闭环</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在用户体验结束、算力即将告罄的临界时刻，产品不生硬地弹出付费墙，而是提供极富诱惑力的</w:t>
      </w:r>
      <w:r w:rsidDel="00000000" w:rsidR="00000000" w:rsidRPr="00000000">
        <w:rPr>
          <w:rFonts w:ascii="Arial Unicode MS" w:cs="Arial Unicode MS" w:eastAsia="Arial Unicode MS" w:hAnsi="Arial Unicode MS"/>
          <w:b w:val="1"/>
          <w:bCs w:val="1"/>
          <w:color w:val="2d3748"/>
          <w:rtl w:val="0"/>
        </w:rPr>
        <w:t xml:space="preserve">裂变替代路径（PLG病毒漏斗）</w:t>
      </w:r>
      <w:r w:rsidDel="00000000" w:rsidR="00000000" w:rsidRPr="00000000">
        <w:rPr>
          <w:rFonts w:ascii="Arial Unicode MS" w:cs="Arial Unicode MS" w:eastAsia="Arial Unicode MS" w:hAnsi="Arial Unicode MS"/>
          <w:color w:val="2d3748"/>
          <w:rtl w:val="0"/>
        </w:rPr>
        <w:t xml:space="preserve">：老用户每成功通过专属海报/小程序链接邀请一位新用户注册，新用户可额外获赠30算力币，老用户账户将同步即时划转30算力币奖励。通过将零边际成本的虚拟算力资源包装为社交流通资产，利用大学生做小组作业、职场员工团队协作的天然社交天然链路，实现极低营销费用的公域到私域的自发式裂变，显著降低产品的综合拉新CAC。</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4.3 变现与催化（Revenue）：基于损失厌恶与锚点效应的付费弹窗路径优化</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当免费用户点击最终“无水印导出可编辑格式”按钮、而账户内的算力币不足以支付30币时，系统将弹出一个精心调优的</w:t>
      </w:r>
      <w:r w:rsidDel="00000000" w:rsidR="00000000" w:rsidRPr="00000000">
        <w:rPr>
          <w:rFonts w:ascii="Arial Unicode MS" w:cs="Arial Unicode MS" w:eastAsia="Arial Unicode MS" w:hAnsi="Arial Unicode MS"/>
          <w:b w:val="1"/>
          <w:bCs w:val="1"/>
          <w:color w:val="2d3748"/>
          <w:rtl w:val="0"/>
        </w:rPr>
        <w:t xml:space="preserve">“高敏感度价格锚点对话框”</w:t>
      </w:r>
      <w:r w:rsidDel="00000000" w:rsidR="00000000" w:rsidRPr="00000000">
        <w:rPr>
          <w:rFonts w:ascii="Arial Unicode MS" w:cs="Arial Unicode MS" w:eastAsia="Arial Unicode MS" w:hAnsi="Arial Unicode MS"/>
          <w:color w:val="2d3748"/>
          <w:rtl w:val="0"/>
        </w:rPr>
        <w:t xml:space="preserve">。拒绝平铺直叙的充值选项，而是深度利用行为经济学中的</w:t>
      </w:r>
      <w:r w:rsidDel="00000000" w:rsidR="00000000" w:rsidRPr="00000000">
        <w:rPr>
          <w:rFonts w:ascii="Arial Unicode MS" w:cs="Arial Unicode MS" w:eastAsia="Arial Unicode MS" w:hAnsi="Arial Unicode MS"/>
          <w:b w:val="1"/>
          <w:bCs w:val="1"/>
          <w:color w:val="2d3748"/>
          <w:rtl w:val="0"/>
        </w:rPr>
        <w:t xml:space="preserve">“损失厌恶（Loss Aversion）”</w:t>
      </w:r>
      <w:r w:rsidDel="00000000" w:rsidR="00000000" w:rsidRPr="00000000">
        <w:rPr>
          <w:rFonts w:ascii="Arial Unicode MS" w:cs="Arial Unicode MS" w:eastAsia="Arial Unicode MS" w:hAnsi="Arial Unicode MS"/>
          <w:color w:val="2d3748"/>
          <w:rtl w:val="0"/>
        </w:rPr>
        <w:t xml:space="preserve">心理：</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ind w:left="180" w:right="180" w:firstLine="0"/>
        <w:rPr>
          <w:rFonts w:ascii="Arial" w:cs="Arial" w:eastAsia="Arial" w:hAnsi="Arial"/>
          <w:i w:val="1"/>
          <w:iCs w:val="1"/>
          <w:color w:val="4a5568"/>
          <w:shd w:fill="f7fafc" w:val="clear"/>
        </w:rPr>
      </w:pPr>
      <w:r w:rsidDel="00000000" w:rsidR="00000000" w:rsidRPr="00000000">
        <w:rPr>
          <w:rFonts w:ascii="Arial Unicode MS" w:cs="Arial Unicode MS" w:eastAsia="Arial Unicode MS" w:hAnsi="Arial Unicode MS"/>
          <w:i w:val="1"/>
          <w:iCs w:val="1"/>
          <w:color w:val="4a5568"/>
          <w:shd w:fill="f7fafc" w:val="clear"/>
          <w:rtl w:val="0"/>
        </w:rPr>
        <w:t xml:space="preserve">“您精心创作的这套 25 页精美演示文稿已排版完毕。如果单次购买导出，将消耗 30 算力币（价值 3.0 元）。</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Arial" w:cs="Arial" w:eastAsia="Arial" w:hAnsi="Arial"/>
          <w:i w:val="1"/>
          <w:iCs w:val="1"/>
          <w:color w:val="4a5568"/>
          <w:shd w:fill="f7fafc" w:val="clear"/>
        </w:rPr>
      </w:pPr>
      <w:r w:rsidDel="00000000" w:rsidR="00000000" w:rsidRPr="00000000">
        <w:rPr>
          <w:rFonts w:ascii="Arial" w:cs="Arial" w:eastAsia="Arial" w:hAnsi="Arial"/>
          <w:i w:val="1"/>
          <w:iCs w:val="1"/>
          <w:color w:val="4a5568"/>
          <w:shd w:fill="f7fafc" w:val="clear"/>
          <w:rtl w:val="0"/>
        </w:rPr>
        <w:t xml:space="preserve">🔥【限时特惠方案】开通连续包月 Pro 会员（首月仅需 19.9 元，次月可随时取消），本次导出立享【完全免费】，且系统将立即为您卡里注入 500 会员专项算力币，本月还可享受免排队极速生图特权。您辛苦创作的作品不应带有平台水印，立即开通释放完美商业价值。”</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此弹窗通过提供极具悬殊的“单次开销”与“会员首月特惠”价格对比，成功建立强烈的心理锚点，让用户感知到不办会员是一笔巨大的“损失”，从而极其顺畅地引导长尾流量高效沉淀到高粘性、高复购的“周期订阅会员池”中。</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五、 全方位安全风控、内容合规与资源防刷防御体系</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2d3748"/>
          <w:rtl w:val="0"/>
        </w:rPr>
        <w:t xml:space="preserve">商业变现的成功必然伴随着对成本支出的严防死守。由于AIGC产品调用底层算力需支付真金白银的API或硬件电费成本，一旦遭遇自动化脚本、“羊毛党”黑灰产的集群化恶意围猎，将会导致云端算力瞬间瘫痪甚至导致极其严重的财务亏损。因此，必须构建全栈的风控闭环防御网：</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5.1 灰产自动化防刷与设备指纹风控机制</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多维身份强校验：</w:t>
      </w:r>
      <w:r w:rsidDel="00000000" w:rsidR="00000000" w:rsidRPr="00000000">
        <w:rPr>
          <w:rFonts w:ascii="Arial Unicode MS" w:cs="Arial Unicode MS" w:eastAsia="Arial Unicode MS" w:hAnsi="Arial Unicode MS"/>
          <w:color w:val="2d3748"/>
          <w:rtl w:val="0"/>
        </w:rPr>
        <w:t xml:space="preserve">严禁单纯的电子邮箱或虚拟手机号注册。新账户必须实施“手机号一键登录+微信实名生态授权”的双重交叉强制认证。</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高级设备指纹追踪：</w:t>
      </w:r>
      <w:r w:rsidDel="00000000" w:rsidR="00000000" w:rsidRPr="00000000">
        <w:rPr>
          <w:rFonts w:ascii="Arial Unicode MS" w:cs="Arial Unicode MS" w:eastAsia="Arial Unicode MS" w:hAnsi="Arial Unicode MS"/>
          <w:color w:val="2d3748"/>
          <w:rtl w:val="0"/>
        </w:rPr>
        <w:t xml:space="preserve">前端深度埋点引入高级设备指纹算法（综合提炼浏览器Canvas签名、WebGL上下文、系统UUID、硬件网卡特征及本地IP代理状态）。同一个物理设备24小时内若频繁注册不同账号，自动判定为恶意欺诈，直接熔断其免费算力币的下发，并对其接口请求实施动态蜜罐降权。</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动态API频次限制（Rate Limiting）：</w:t>
      </w:r>
      <w:r w:rsidDel="00000000" w:rsidR="00000000" w:rsidRPr="00000000">
        <w:rPr>
          <w:rFonts w:ascii="Arial Unicode MS" w:cs="Arial Unicode MS" w:eastAsia="Arial Unicode MS" w:hAnsi="Arial Unicode MS"/>
          <w:color w:val="2d3748"/>
          <w:rtl w:val="0"/>
        </w:rPr>
        <w:t xml:space="preserve">对生成大纲和生图接口部署严格令牌桶限制（Token Bucket Algorithm），免费用户单设备每日生图上限锁死为10张，大纲生成单分钟并发不能超过2次，彻底杜绝外部黑产利用爬虫脚本反向封装本平台API作为免费中转站的倒卖行为。</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5.2 多模态双向内容安全合规审查（Content Moderation）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为规避法律与监管导致的关停下架法律风险，智能体必须建立前置与后置双向防御闸门：</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前置输入审核：</w:t>
      </w:r>
      <w:r w:rsidDel="00000000" w:rsidR="00000000" w:rsidRPr="00000000">
        <w:rPr>
          <w:rFonts w:ascii="Arial Unicode MS" w:cs="Arial Unicode MS" w:eastAsia="Arial Unicode MS" w:hAnsi="Arial Unicode MS"/>
          <w:color w:val="2d3748"/>
          <w:rtl w:val="0"/>
        </w:rPr>
        <w:t xml:space="preserve">用户输入的原始Prompt及上传的背景长文档，在递交给核心大模型前，必须同步经过本地敏感词词库以及云端合规审核API（如网易易盾或腾讯云天御）的并发检测。凡涉及政治红线、暴恐血腥、色情低俗、涉嫌洗钱及金融诈骗等言论，前端直接触发熔断警告，封锁当前对话。</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后置输出校检：</w:t>
      </w:r>
      <w:r w:rsidDel="00000000" w:rsidR="00000000" w:rsidRPr="00000000">
        <w:rPr>
          <w:rFonts w:ascii="Arial Unicode MS" w:cs="Arial Unicode MS" w:eastAsia="Arial Unicode MS" w:hAnsi="Arial Unicode MS"/>
          <w:color w:val="2d3748"/>
          <w:rtl w:val="0"/>
        </w:rPr>
        <w:t xml:space="preserve">AI智能体生成完毕的排版文字及图像URL在正式渲染呈献给用户前，需要经过CV（计算机视觉）合规分类器和NLP敏感度打分，确保生成的图像不包含畸形反人类视觉、擦边涉黄或违规政治隐喻，坚死守住内容合规生命线。</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5.3 虚拟资产财务风控与有效期滚动消纳</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Unicode MS" w:cs="Arial Unicode MS" w:eastAsia="Arial Unicode MS" w:hAnsi="Arial Unicode MS"/>
          <w:color w:val="2d3748"/>
          <w:rtl w:val="0"/>
        </w:rPr>
        <w:t xml:space="preserve">为了防范账面代币长期堆积沉淀给平台财务带来的递延收入确认困难及突发性算力挤兑风险，本方案对不同性质的“算力币”进行了精细的有效期分级属性定义：</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赠送与活动资产：</w:t>
      </w:r>
      <w:r w:rsidDel="00000000" w:rsidR="00000000" w:rsidRPr="00000000">
        <w:rPr>
          <w:rFonts w:ascii="Arial Unicode MS" w:cs="Arial Unicode MS" w:eastAsia="Arial Unicode MS" w:hAnsi="Arial Unicode MS"/>
          <w:color w:val="2d3748"/>
          <w:rtl w:val="0"/>
        </w:rPr>
        <w:t xml:space="preserve">新用户注册赠送、裂变获赠的奖励算力币，统一配置严格的**30天滚动有效期**。过期自动执行系统熔断清零，以无形的时间紧迫感作为外部推力，加速用户体验与转化的全过程。</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付费购买资产：</w:t>
      </w:r>
      <w:r w:rsidDel="00000000" w:rsidR="00000000" w:rsidRPr="00000000">
        <w:rPr>
          <w:rFonts w:ascii="Arial Unicode MS" w:cs="Arial Unicode MS" w:eastAsia="Arial Unicode MS" w:hAnsi="Arial Unicode MS"/>
          <w:color w:val="2d3748"/>
          <w:rtl w:val="0"/>
        </w:rPr>
        <w:t xml:space="preserve">用户通过法币真实充值购买的加油包算力币，属于法定民事合同资产，承若**永久有效**，不支持无理由提现，但支持平滑结转到会员费的抵扣中，以此规避合规与法律诉讼风险。</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2c5282"/>
        </w:rPr>
      </w:pPr>
      <w:r w:rsidDel="00000000" w:rsidR="00000000" w:rsidRPr="00000000">
        <w:rPr>
          <w:rFonts w:ascii="Arial Unicode MS" w:cs="Arial Unicode MS" w:eastAsia="Arial Unicode MS" w:hAnsi="Arial Unicode MS"/>
          <w:color w:val="2c5282"/>
          <w:rtl w:val="0"/>
        </w:rPr>
        <w:t xml:space="preserve">六、 数据化监控体系（North Star Metrics）与商业化看板设计</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2d3748"/>
          <w:rtl w:val="0"/>
        </w:rPr>
        <w:t xml:space="preserve">商业方案的落地和策略优化必须依赖强有力的数据客观反馈。产品管理团队和财务团队应基于BI数据仓库（如神策数据或Tableau）建立实时数据大盘监控系统，每日复盘以下三维核心指标集：</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6.1 核心商业化健康度看板指标</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LTV / CAC 比值（商业可行性红线）：</w:t>
      </w:r>
      <w:r w:rsidDel="00000000" w:rsidR="00000000" w:rsidRPr="00000000">
        <w:rPr>
          <w:rFonts w:ascii="Arial Unicode MS" w:cs="Arial Unicode MS" w:eastAsia="Arial Unicode MS" w:hAnsi="Arial Unicode MS"/>
          <w:color w:val="2d3748"/>
          <w:rtl w:val="0"/>
        </w:rPr>
        <w:t xml:space="preserve">要求整体LTV/CAC必须稳固大于3.0。若比值逼近1.0或小于1.0，证明广告投放及营销策略出现严重倒挂，需立即缩减渠道投放或提升付费墙定价。</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ARPU 与 ARPPU：</w:t>
      </w:r>
      <w:r w:rsidDel="00000000" w:rsidR="00000000" w:rsidRPr="00000000">
        <w:rPr>
          <w:rFonts w:ascii="Arial Unicode MS" w:cs="Arial Unicode MS" w:eastAsia="Arial Unicode MS" w:hAnsi="Arial Unicode MS"/>
          <w:color w:val="2d3748"/>
          <w:rtl w:val="0"/>
        </w:rPr>
        <w:t xml:space="preserve">监控日/月“每用户平均收入（ARPU）”以及“每付费用户平均收入（ARPPU）”，精准评估单次充值加油包与会员订阅的收入贡献权重。</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订阅次月流存率（Churn Rate Monitor）：</w:t>
      </w:r>
      <w:r w:rsidDel="00000000" w:rsidR="00000000" w:rsidRPr="00000000">
        <w:rPr>
          <w:rFonts w:ascii="Arial Unicode MS" w:cs="Arial Unicode MS" w:eastAsia="Arial Unicode MS" w:hAnsi="Arial Unicode MS"/>
          <w:color w:val="2d3748"/>
          <w:rtl w:val="0"/>
        </w:rPr>
        <w:t xml:space="preserve">连续两个月追踪Pro会员及团队版账号的续费留存率，若次月流失率超过20%，证明产品模板更新频率、AI排版质量或生图精细度未能持续满足用户预期，必须马上对研发端下达产品功能改版指令。</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6.2 漏斗转化率实时监控看板</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完整转化路径：</w:t>
      </w:r>
      <w:r w:rsidDel="00000000" w:rsidR="00000000" w:rsidRPr="00000000">
        <w:rPr>
          <w:rFonts w:ascii="Arial Unicode MS" w:cs="Arial Unicode MS" w:eastAsia="Arial Unicode MS" w:hAnsi="Arial Unicode MS"/>
          <w:color w:val="2d3748"/>
          <w:rtl w:val="0"/>
        </w:rPr>
        <w:t xml:space="preserve">注册激活 → 大纲成功生成数 → 单页PPT精排数 → 触发付费弹窗展示数（Paywall Impressions）→ 最终支付成功数。</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断裂节点诊断：</w:t>
      </w:r>
      <w:r w:rsidDel="00000000" w:rsidR="00000000" w:rsidRPr="00000000">
        <w:rPr>
          <w:rFonts w:ascii="Arial Unicode MS" w:cs="Arial Unicode MS" w:eastAsia="Arial Unicode MS" w:hAnsi="Arial Unicode MS"/>
          <w:color w:val="2d3748"/>
          <w:rtl w:val="0"/>
        </w:rPr>
        <w:t xml:space="preserve">通过对上述漏斗中每一层级流失率的微观监控，能够迅速诊断出产品体验是在哪个环节发生断裂（例如：如果大纲生成量巨大，但触发弹窗人数极少，说明多模态生图功能缺乏吸引力，需要迅速升级底层的图文生成画风模型）。</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rPr>
      </w:pPr>
      <w:r w:rsidDel="00000000" w:rsidR="00000000" w:rsidRPr="00000000">
        <w:rPr>
          <w:rFonts w:ascii="Arial Unicode MS" w:cs="Arial Unicode MS" w:eastAsia="Arial Unicode MS" w:hAnsi="Arial Unicode MS"/>
          <w:color w:val="4a5568"/>
          <w:rtl w:val="0"/>
        </w:rPr>
        <w:t xml:space="preserve">6.3 后端算力毛利与资源对冲看板</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算力单耗监控：</w:t>
      </w:r>
      <w:r w:rsidDel="00000000" w:rsidR="00000000" w:rsidRPr="00000000">
        <w:rPr>
          <w:rFonts w:ascii="Arial Unicode MS" w:cs="Arial Unicode MS" w:eastAsia="Arial Unicode MS" w:hAnsi="Arial Unicode MS"/>
          <w:color w:val="2d3748"/>
          <w:rtl w:val="0"/>
        </w:rPr>
        <w:t xml:space="preserve">每日精细测算平均每份成功导出的PPT文稿在云端实际消耗的Tokens总额与GPU算力显存租赁时长费用。</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2d3748"/>
          <w:rtl w:val="0"/>
        </w:rPr>
        <w:t xml:space="preserve">动态毛利率（Real-time Gross Margin）：</w:t>
      </w:r>
      <w:r w:rsidDel="00000000" w:rsidR="00000000" w:rsidRPr="00000000">
        <w:rPr>
          <w:rFonts w:ascii="Arial Unicode MS" w:cs="Arial Unicode MS" w:eastAsia="Arial Unicode MS" w:hAnsi="Arial Unicode MS"/>
          <w:color w:val="2d3748"/>
          <w:rtl w:val="0"/>
        </w:rPr>
        <w:t xml:space="preserve">将每日法币实际总流水与云服务商实际开销账单进行实时全自动对账对撞，将综合毛利率牢牢钉在 65% 的安全红线之上，确保商业模型具备卓越的抗风险韧性与强劲的自我造血机能。</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