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电-气耦合微电网建模合理性可视化图解析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面向多时间尺度分层强化学习调度环境的图示说明与指标释义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说明：本文档解析现有五张可视化图，包括拓扑耦合、设备容量与动作空间、多时间尺度、24小时约束包络以及电-气转换量纲一致性。</w:t>
      </w:r>
    </w:p>
    <w:p>
      <w:pPr>
        <w:pStyle w:val="Heading1"/>
      </w:pPr>
      <w:r>
        <w:rPr>
          <w:rFonts w:ascii="Noto Sans CJK SC" w:hAnsi="Noto Sans CJK SC" w:eastAsia="Noto Sans CJK SC"/>
        </w:rPr>
        <w:t>一、总体解读</w:t>
      </w:r>
    </w:p>
    <w:p>
      <w:pPr>
        <w:pStyle w:val="Quote"/>
      </w:pPr>
      <w:r>
        <w:rPr>
          <w:rFonts w:ascii="Noto Sans CJK SC" w:hAnsi="Noto Sans CJK SC" w:eastAsia="Noto Sans CJK SC"/>
          <w:sz w:val="18"/>
        </w:rPr>
        <w:t>这组图的核心作用不是证明强化学习算法性能，而是证明仿真环境建模具备物理结构、跨能流耦合、时间尺度、约束边界和量纲换算上的一致性。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图编号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图名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主要证明内容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建模合理性含义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静态拓扑与跨能流耦合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IEEE 33节点电网、20节点气网、GFG/P2G/压缩机映射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证明电网、气网不是孤立拼接，而是通过明确设备形成电-气耦合。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设备容量与动作空间分解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ESS、新能源、GFG、P2G容量及动作维度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证明动作空间维度与实际受控设备数量一致，慢/快动作划分有物理依据。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多时间尺度调度时间轴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3分钟快层、1小时慢层、2小时Manager目标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证明多时间尺度结构由环境时间参数显式决定。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24小时约束包络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电压、气压、SOC、耦合设备、新能源、求解状态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证明环境能够记录并评估运行约束与耦合响应。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电-气转换量纲一致性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GFG耗气、P2G产气与电功率的线性关系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证明电-气流量换算由效率和高位热值决定，单位自洽。</w:t>
            </w:r>
          </w:p>
        </w:tc>
      </w:tr>
    </w:tbl>
    <w:p/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二、图1：静态拓扑与跨能流耦合关系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9509760" cy="525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ic_topology_coup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5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图1  静态拓扑与电-气跨能流耦合关系</w:t>
      </w:r>
    </w:p>
    <w:p>
      <w:pPr>
        <w:pStyle w:val="Heading2"/>
      </w:pPr>
      <w:r>
        <w:rPr>
          <w:rFonts w:ascii="Noto Sans CJK SC" w:hAnsi="Noto Sans CJK SC" w:eastAsia="Noto Sans CJK SC"/>
        </w:rPr>
        <w:t>1. 图中结构含义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左侧为电力层，采用IEEE 33节点径向配电网，节点编号为0–32。0号节点为Slack/Utility Grid，表示外部主网或平衡节点。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右侧为气网层，采用Belgian-20-derived中压配气网，节点编号为0–19。0号节点为主压力气源，7号节点为辅助气源。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蓝色/青色实线分别表示电力线路和被动天然气管道；紫色点划线表示气网压缩机弧。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跨层虚线箭头表示电-气之间的能量转换或耦合依赖关系，包括GFG、P2G和电驱压缩机。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图例/指标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在建模中的作用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合理性判据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Power line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电网支路，连接IEEE 33节点中的相邻母线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决定配电网潮流、电压分布和线路损耗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应形成径向拓扑，与IEEE 33节点馈线结构一致。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Passive gas pipe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气网被动管道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决定气体流动路径、压力分布和管速约束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应连接气源、负荷、GFG/P2G和压缩机相关节点。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Gas compressor arc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气网压缩机方向边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提高下游压力，体现气网主动调压设备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应具有明确from/to方向，并与电侧压缩机负荷耦合。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Slack / Utility Grid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电网平衡节点/外部电网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为配电网提供电压参考和平衡功率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通常设在0号母线，符合IEEE 33节点常见设定。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Main ext_grid / City gate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主气源压力边界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为气网提供压力参考和气源供应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应作为唯一主压力边界，避免多个压力源过度约束气网。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Auxiliary source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辅助气源节点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提供有限质量流量补充供气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应作为有容量上限的source，而非第二个压力平衡节点。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Load bus / Gas load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电负荷母线/气负荷节点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构成电气系统基础需求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负荷分布应覆盖网络末端和关键支路，形成潮流/管流压力。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ESS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储能系统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慢时间尺度能量转移、削峰填谷、电压支撑间接调节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布置在配电网中后段更能影响电压和潮流。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PV / WT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光伏/风电及逆变器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提供可再生发电和快速无功/弃电控制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适合作为快时间尺度动作对象。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GFG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燃气发电机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气到电转换：消耗气网天然气，在电网注入有功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电侧bus与气侧junction应一一映射。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P2G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电转气设备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电到气转换：消耗电功率，向气网注入气体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电侧负荷位置与气侧注入节点应一一映射。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Compressor electric load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电驱气压缩机的电侧负荷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压缩机在气侧调压，同时在电侧消耗功率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电侧负荷节点应与气侧压缩机弧对应。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从图1得到的建模结论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电网与气网的拓扑层次清晰，二者不是混合画在同一网络中，而是通过明确设备进行跨层耦合。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GFG体现“气→电”的能流；P2G体现“电→气”的能流；电驱压缩机体现“电能消耗→气网压力调节”的耦合关系。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该图能够支撑论文中“电-气耦合微电网拓扑建模”的说明，适合作为系统结构图或算例图。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三、图2：设备容量与动作空间分解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9509760" cy="6222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vice_capacity_and_action_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622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图2  设备容量与动作空间组成</w:t>
      </w:r>
    </w:p>
    <w:p>
      <w:pPr>
        <w:pStyle w:val="Heading2"/>
      </w:pPr>
      <w:r>
        <w:rPr>
          <w:rFonts w:ascii="Noto Sans CJK SC" w:hAnsi="Noto Sans CJK SC" w:eastAsia="Noto Sans CJK SC"/>
        </w:rPr>
        <w:t>1. ESS功率与容量指标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调度意义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Max power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储能单步最大充/放电功率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决定ESS在慢时间尺度内能够改变潮流和SOC的幅度。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Energy capacity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MWh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储能可存储的能量容量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决定ESS可持续充放电时间和跨时段能量转移能力。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无量纲，0–1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储能荷电状态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是ESS安全约束核心状态，过低/过高都会影响可行调度。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 [0.10, 0.95]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无量纲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储能允许运行区间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图中所有ESS标注该范围，说明储能约束被显式建模。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新能源与逆变器指标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调度意义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Capacity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PV/WT最大可用有功容量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决定可再生电源的注入上限。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Inverter rating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逆变器视在功率额定容量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约束有功和无功的联合输出能力。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Curtailment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比例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最大弃风/弃光比例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允许智能体在电压或潮流压力下削减新能源有功。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PV / WT分组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设备类别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光伏和风电的设备类型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说明可再生能源不是单一设备，而是多节点分布式接入。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 GFG/P2G容量与气体流量换算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调度意义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Electrical power rating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GFG最大电出力或P2G最大电输入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决定跨能流设备可调度功率范围。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flow at Pmax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kg/s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额定功率下对应的耗气量或产气量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将电功率动作映射为气网sink/source，体现电-气耦合强度。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HHV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MJ/kg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天然气高位热值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用于把MW（MJ/s）转换为kg/s，保证量纲一致。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Efficiency eta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无量纲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GFG发电效率或P2G转换效率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影响电-气转换斜率和能量损耗。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动作空间分解指标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动作类别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所属时间尺度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物理含义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ESS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三个储能系统的充/放电功率指令。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三个燃气发电机的有功出力指令。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P2G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三个电转气设备的电功率消耗/产气指令。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Controlled compressor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一个可控压缩机的压比或调压指令。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Inverter Q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Fast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8个新能源逆变器无功功率控制。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Curtailment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Fast action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8个新能源设备弃电比例控制。</w:t>
            </w:r>
          </w:p>
        </w:tc>
      </w:tr>
    </w:tbl>
    <w:p/>
    <w:p>
      <w:pPr>
        <w:pStyle w:val="Quote"/>
      </w:pPr>
      <w:r>
        <w:rPr>
          <w:rFonts w:ascii="Noto Sans CJK SC" w:hAnsi="Noto Sans CJK SC" w:eastAsia="Noto Sans CJK SC"/>
          <w:sz w:val="18"/>
        </w:rPr>
        <w:t>图2中的slow=10、fast=16、total=26说明动作维度与受控设备数量完全对应：慢层控制能量/气网耦合设备，快层控制新能源逆变器。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四、图3：多时间尺度调度时间轴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9509760" cy="3222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ultiscale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22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图3  多时间尺度调度时间轴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数值/表示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为什么合理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dt_minutes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 min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环境快速步长，每一步进行一次快速控制与状态更新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逆变器无功和弃电属于快速控制，适合分钟级调节。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steps_per_day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480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一天包含480个3分钟步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24h × 60 / 3 = 480，时间离散一致。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Fast Worker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每3分钟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控制逆变器无功Q和可再生能源弃电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这类动作响应快，主要服务于电压和局部潮流约束。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Worker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每20步，即60分钟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控制ESS、GFG、P2G和可控压缩机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这些动作更偏能量调度和气网调节，适合小时级指令。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Manager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每40步，即120分钟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生成高层goal，不直接作用物理设备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较低频目标用于协调慢层和快层策略，体现分层强化学习结构。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GOAL_DIM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Manager输出目标向量维度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作为跨时间尺度协调信号，被Worker作为条件输入。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20"/>
        </w:rPr>
        <w:t>时间轴上蓝色密集点表示快层每3分钟更新一次，反映逆变器控制的高频特性。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绿色方块每1小时出现一次，表示慢层动作保持一段时间后才更新，符合能量调度和气网设备的较慢决策周期。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紫色菱形每2小时出现一次，表示Manager目标比Worker动作更低频，强调“目标协调”而非直接控制设备。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该图能够直接支撑“多时间尺度分层控制”建模假设。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五、图4：24小时约束包络与运行响应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7863840" cy="5479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straint_envelopes_24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7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图4  温和基准策略下的24小时约束包络与状态响应</w:t>
      </w:r>
    </w:p>
    <w:p>
      <w:pPr>
        <w:pStyle w:val="Quote"/>
      </w:pPr>
      <w:r>
        <w:rPr>
          <w:rFonts w:ascii="Noto Sans CJK SC" w:hAnsi="Noto Sans CJK SC" w:eastAsia="Noto Sans CJK SC"/>
          <w:sz w:val="18"/>
        </w:rPr>
        <w:t>该图不是算法最优性能展示，而是环境sanity check：给定温和基准策略后，观察电压、气压、SOC、设备出力、新能源消纳和求解器状态是否能被正确记录并呈现合理动态。</w:t>
      </w:r>
    </w:p>
    <w:p>
      <w:pPr>
        <w:pStyle w:val="Heading2"/>
      </w:pPr>
      <w:r>
        <w:rPr>
          <w:rFonts w:ascii="Noto Sans CJK SC" w:hAnsi="Noto Sans CJK SC" w:eastAsia="Noto Sans CJK SC"/>
        </w:rPr>
        <w:t>1. 电压约束包络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 min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p.u.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每个时间步所有电网母线中的最低电压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用于检查低电压风险，图中基本位于0.95以上。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 max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p.u.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每个时间步所有电网母线中的最高电压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用于检查过电压风险，图中峰值接近但基本未明显超过1.05。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0.95 pu limit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p.u.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配电网电压下限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低于该线表示欠压约束 violation。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1.05 pu limit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p.u.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配电网电压上限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高于该线表示过压约束 violation。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气压约束包络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p min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所有气网节点中的最低压力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反映远端或负荷集中区域的供气压力安全性。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p max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所有气网节点中的最高压力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反映气源或压缩机下游是否存在过压风险。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2.5 bar limit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气网压力下限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低于该线说明供气不足或压降过大。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5.0 bar limit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气网压力上限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高于该线说明过压风险。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4.0 bar target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气网目标压力参考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用于衡量气压偏差，不等同于硬约束。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 ESS SOC轨迹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ESS_0/ESS_1/ESS_2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三台储能的荷电状态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曲线从约0.5上升至约0.87后下降，体现充放电过程。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Soft range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SOC软约束参考范围，约0.20–0.90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图中SOC保持在软范围内，说明基准策略未导致明显SOC越限。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 hard limits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SOC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储能硬安全区间，例如0.10–0.95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用于动作投影和安全惩罚，保证储能状态可行。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耦合设备有功功率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 total electric output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所有GFG电侧发电功率之和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晚高峰时段出力提高，体现气到电支撑负荷。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P2G total electric load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所有P2G设备消耗电功率之和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中午新能源较多时较高，体现电到气消纳。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Compressor electric load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压缩机电侧耗电功率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图中接近0，说明基准策略下压缩机耗电很小或未显著启用。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5. 新能源响应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Available renewable power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风光理论可用功率总和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中午达到高峰，符合光伏日内曲线和风电波动。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Used renewable power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实际并网利用的可再生功率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基本跟随可用功率，说明弃电较少。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Curtailed renewable power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被削减的可再生功率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中午存在小幅弃电，用于缓解电压或潮流压力。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6. 求解器与事件触发状态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单位/取值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图中解读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state 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步数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距上一次气网重新求解已过去的快速步数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锯齿状上升后归零，说明事件触发气网求解机制生效。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solve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marker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该步触发并执行了气网管流求解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蓝绿色点出现时说明气网状态被刷新。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 decision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marker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慢层动作更新时刻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绿色点约每小时出现一次，和图3时间尺度一致。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Power flow success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0/1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电力潮流求解是否成功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接近1说明潮流求解稳定。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flow success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0/1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气网管流求解是否成功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接近1说明气网求解稳定。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20"/>
        </w:rPr>
        <w:t>图4证明环境不仅能生成拓扑图，还能在24小时运行过程中记录关键物理约束。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电压、气压和SOC曲线均有明确安全边界，适合作为强化学习奖励函数与约束惩罚的依据。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GFG和P2G曲线体现了跨能流设备在日内不同阶段的互补作用。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气网状态年龄与气网求解标记说明气网采用事件触发准稳态求解，而不是每个3分钟步都强制重算。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六、图5：电-气转换量纲一致性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9509760" cy="3863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pling_flow_consis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图5  GFG与P2G电-气流量换算曲线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指标/公式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合理性说明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Electric power output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GFG向电网注入的有功功率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MW可视为MJ/s，是计算耗气量的能量速率。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Electric power input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MW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P2G从电网吸收的电功率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电能输入越大，产气量越高。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consumption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kg/s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GFG单位时间消耗的天然气质量流量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由电功率、发电效率和HHV共同决定。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production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kg/s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P2G单位时间产生并注入气网的气体质量流量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由电功率、P2G效率和HHV共同决定。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eta_GFG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无量纲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燃气发电效率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效率越高，同样电功率所需天然气越少。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eta_P2G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无量纲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电转气转换效率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效率越高，同样电功率产气量越大。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HHV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MJ/kg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天然气高位热值，本模型为50 MJ/kg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将能量速率MW转换为质量流量kg/s的关键参数。</w:t>
            </w:r>
          </w:p>
        </w:tc>
      </w:tr>
    </w:tbl>
    <w:p/>
    <w:p>
      <w:r>
        <w:rPr>
          <w:rFonts w:ascii="Noto Sans CJK SC" w:hAnsi="Noto Sans CJK SC" w:eastAsia="Noto Sans CJK SC"/>
          <w:b/>
        </w:rPr>
        <w:t>GFG耗气换算公式：</w:t>
      </w:r>
      <w:r>
        <w:rPr>
          <w:rFonts w:ascii="Noto Sans CJK SC" w:hAnsi="Noto Sans CJK SC" w:eastAsia="Noto Sans CJK SC"/>
        </w:rPr>
        <w:t xml:space="preserve">  mdot_gas = P_e / (eta_GFG × HHV)。其中P_e单位为MW，即MJ/s；HHV单位为MJ/kg，因此结果单位为kg/s。</w:t>
      </w:r>
    </w:p>
    <w:p>
      <w:r>
        <w:rPr>
          <w:rFonts w:ascii="Noto Sans CJK SC" w:hAnsi="Noto Sans CJK SC" w:eastAsia="Noto Sans CJK SC"/>
          <w:b/>
        </w:rPr>
        <w:t>P2G产气换算公式：</w:t>
      </w:r>
      <w:r>
        <w:rPr>
          <w:rFonts w:ascii="Noto Sans CJK SC" w:hAnsi="Noto Sans CJK SC" w:eastAsia="Noto Sans CJK SC"/>
        </w:rPr>
        <w:t xml:space="preserve">  mdot_gas = eta_P2G × P_e / HHV。该公式说明P2G电功率越大、效率越高，气体注入量越大。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两张子图均呈线性关系，说明模型中的电-气转换不是任意非物理映射，而是按照能量守恒和效率参数进行换算。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GFG曲线斜率与1/(eta_GFG × HHV)成正比，因此效率较低的GFG在同样电功率下耗气更多。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P2G曲线斜率与eta_P2G/HHV成正比，因此效率较高的P2G在同样电功率下产气更多。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七、综合结论与使用建议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验证维度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已有图示支持</w:t>
            </w:r>
          </w:p>
        </w:tc>
        <w:tc>
          <w:tcPr>
            <w:tcW w:type="dxa" w:w="90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拓扑合理性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图1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电网、气网节点和设备布置清晰，跨能流耦合关系明确。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设备容量合理性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图2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ESS、新能源、GFG、P2G和压缩机容量均被显式展示。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动作空间合理性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图2、图3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slow=10、fast=16、total=26与受控设备数量一致，时间尺度划分具有物理依据。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约束建模合理性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图4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电压、气压、SOC、新能源和求解器状态均可监测，可用于奖励和安全约束。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耦合量纲合理性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图5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GFG/P2G电-气流量换算基于效率和HHV，单位自洽。</w:t>
            </w:r>
          </w:p>
        </w:tc>
      </w:tr>
    </w:tbl>
    <w:p/>
    <w:p>
      <w:pPr>
        <w:pStyle w:val="Quote"/>
      </w:pPr>
      <w:r>
        <w:rPr>
          <w:rFonts w:ascii="Noto Sans CJK SC" w:hAnsi="Noto Sans CJK SC" w:eastAsia="Noto Sans CJK SC"/>
          <w:sz w:val="18"/>
        </w:rPr>
        <w:t>建议在论文中把这组图定位为“建模合理性验证”或“仿真环境结构说明”，而不是算法性能结果。算法性能仍需要通过训练曲线、消融实验、对比基线和约束越限统计进一步证明。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  <w:tc>
          <w:tcPr>
            <w:tcW w:type="dxa" w:w="1080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气网模型范围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当前气网应表述为Belgian-20-derived中压研究标定模型，不应声称完全复现原始Belgian输气系统工程参数。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气网动态性质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当前为事件触发准稳态气网求解，不是完整天然气暂态动力学模型。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图4解释边界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图4来自温和基准策略，仅说明环境和约束记录正常，不代表最优调度性能。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论文排版建议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图4信息量较大，正式论文中可拆成“物理约束包络”和“调度响应/求解状态”两张图。</w:t>
            </w:r>
          </w:p>
        </w:tc>
      </w:tr>
    </w:tbl>
    <w:p/>
    <w:sectPr w:rsidR="00FC693F" w:rsidRPr="0006063C" w:rsidSect="00034616">
      <w:footerReference w:type="default" r:id="rId14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电-气耦合微电网建模合理性可视化图解析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