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</w:pPr>
      <w:r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  <w:t>南京林业大学</w:t>
      </w:r>
    </w:p>
    <w:p>
      <w:pPr>
        <w:jc w:val="center"/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</w:pPr>
      <w:r>
        <w:rPr>
          <w:rFonts w:hint="eastAsia" w:ascii="楷体_GB2312" w:hAnsi="楷体_GB2312" w:eastAsia="楷体_GB2312" w:cs="楷体_GB2312"/>
        </w:rPr>
        <w:drawing>
          <wp:inline distT="0" distB="0" distL="114300" distR="114300">
            <wp:extent cx="2478405" cy="224599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_GB2312" w:hAnsi="楷体_GB2312" w:eastAsia="楷体_GB2312" w:cs="楷体_GB2312"/>
          <w:bCs/>
          <w:sz w:val="84"/>
          <w:szCs w:val="84"/>
        </w:rPr>
      </w:pPr>
    </w:p>
    <w:p>
      <w:pPr>
        <w:spacing w:line="360" w:lineRule="auto"/>
        <w:jc w:val="center"/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</w:pPr>
      <w:r>
        <w:rPr>
          <w:rFonts w:hint="eastAsia" w:ascii="楷体_GB2312" w:hAnsi="楷体_GB2312" w:eastAsia="楷体_GB2312" w:cs="楷体_GB2312"/>
          <w:bCs/>
          <w:sz w:val="84"/>
          <w:szCs w:val="84"/>
        </w:rPr>
        <w:t>操作系统课程</w:t>
      </w:r>
      <w:r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  <w:t>实习</w:t>
      </w:r>
    </w:p>
    <w:p>
      <w:pPr>
        <w:spacing w:line="360" w:lineRule="auto"/>
        <w:jc w:val="center"/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</w:pPr>
      <w:r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  <w:t>计划表</w:t>
      </w:r>
    </w:p>
    <w:p>
      <w:pPr>
        <w:rPr>
          <w:rFonts w:hint="eastAsia" w:ascii="楷体_GB2312" w:hAnsi="楷体_GB2312" w:eastAsia="楷体_GB2312" w:cs="楷体_GB2312"/>
          <w:b/>
          <w:bCs/>
          <w:sz w:val="28"/>
        </w:rPr>
      </w:pPr>
      <w:r>
        <w:rPr>
          <w:rFonts w:hint="eastAsia" w:ascii="楷体_GB2312" w:hAnsi="楷体_GB2312" w:eastAsia="楷体_GB2312" w:cs="楷体_GB2312"/>
          <w:bCs/>
          <w:sz w:val="84"/>
          <w:szCs w:val="84"/>
          <w:lang w:val="en-US" w:eastAsia="zh-CN"/>
        </w:rPr>
        <w:br w:type="page"/>
      </w:r>
    </w:p>
    <w:p>
      <w:pPr>
        <w:widowControl/>
        <w:spacing w:after="156" w:afterLines="50" w:line="360" w:lineRule="auto"/>
        <w:jc w:val="both"/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  <w:t>一、实验课的时间进度总表</w:t>
      </w:r>
    </w:p>
    <w:tbl>
      <w:tblPr>
        <w:tblStyle w:val="4"/>
        <w:tblW w:w="4628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158"/>
        <w:gridCol w:w="969"/>
        <w:gridCol w:w="967"/>
        <w:gridCol w:w="2659"/>
      </w:tblGrid>
      <w:tr>
        <w:trPr>
          <w:cantSplit/>
          <w:trHeight w:val="437" w:hRule="atLeast"/>
          <w:jc w:val="center"/>
        </w:trPr>
        <w:tc>
          <w:tcPr>
            <w:tcW w:w="1353" w:type="pct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after="50"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  <w:r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  <w:t>课程名称</w:t>
            </w:r>
          </w:p>
        </w:tc>
        <w:tc>
          <w:tcPr>
            <w:tcW w:w="734" w:type="pct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after="50"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  <w:r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  <w:t>时数</w:t>
            </w:r>
          </w:p>
        </w:tc>
        <w:tc>
          <w:tcPr>
            <w:tcW w:w="1227" w:type="pct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after="50"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  <w:r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  <w:t>项目数</w:t>
            </w:r>
          </w:p>
        </w:tc>
        <w:tc>
          <w:tcPr>
            <w:tcW w:w="1684" w:type="pct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after="50"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  <w:r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  <w:t>面向专业</w:t>
            </w:r>
          </w:p>
        </w:tc>
      </w:tr>
      <w:tr>
        <w:trPr>
          <w:cantSplit/>
          <w:trHeight w:val="612" w:hRule="atLeast"/>
          <w:jc w:val="center"/>
        </w:trPr>
        <w:tc>
          <w:tcPr>
            <w:tcW w:w="1353" w:type="pct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</w:p>
        </w:tc>
        <w:tc>
          <w:tcPr>
            <w:tcW w:w="734" w:type="pct"/>
            <w:vMerge w:val="continue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</w:p>
        </w:tc>
        <w:tc>
          <w:tcPr>
            <w:tcW w:w="61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after="50"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  <w:r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  <w:t>必开</w:t>
            </w:r>
          </w:p>
        </w:tc>
        <w:tc>
          <w:tcPr>
            <w:tcW w:w="61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after="50"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  <w:r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  <w:t>选开</w:t>
            </w:r>
          </w:p>
        </w:tc>
        <w:tc>
          <w:tcPr>
            <w:tcW w:w="1684" w:type="pct"/>
            <w:vMerge w:val="continue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楷体_GB2312" w:hAnsi="楷体_GB2312" w:eastAsia="楷体_GB2312" w:cs="楷体_GB2312"/>
                <w:spacing w:val="15"/>
                <w:kern w:val="0"/>
                <w:sz w:val="24"/>
              </w:rPr>
            </w:pPr>
          </w:p>
        </w:tc>
      </w:tr>
      <w:tr>
        <w:trPr>
          <w:cantSplit/>
          <w:trHeight w:val="730" w:hRule="atLeast"/>
          <w:jc w:val="center"/>
        </w:trPr>
        <w:tc>
          <w:tcPr>
            <w:tcW w:w="1353" w:type="pct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Cs/>
                <w:szCs w:val="21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Cs/>
                <w:szCs w:val="21"/>
              </w:rPr>
              <w:t>操作系统</w:t>
            </w:r>
            <w:r>
              <w:rPr>
                <w:rFonts w:hint="eastAsia" w:ascii="楷体_GB2312" w:hAnsi="楷体_GB2312" w:eastAsia="楷体_GB2312" w:cs="楷体_GB2312"/>
                <w:bCs/>
                <w:szCs w:val="21"/>
                <w:lang w:val="en-US" w:eastAsia="zh-CN"/>
              </w:rPr>
              <w:t>实习</w:t>
            </w:r>
          </w:p>
        </w:tc>
        <w:tc>
          <w:tcPr>
            <w:tcW w:w="73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Cs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bCs/>
                <w:szCs w:val="21"/>
              </w:rPr>
              <w:t>1周</w:t>
            </w:r>
          </w:p>
        </w:tc>
        <w:tc>
          <w:tcPr>
            <w:tcW w:w="61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√</w:t>
            </w:r>
          </w:p>
        </w:tc>
        <w:tc>
          <w:tcPr>
            <w:tcW w:w="612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</w:p>
        </w:tc>
        <w:tc>
          <w:tcPr>
            <w:tcW w:w="168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楷体_GB2312" w:hAnsi="楷体_GB2312" w:eastAsia="楷体_GB2312" w:cs="楷体_GB2312"/>
                <w:szCs w:val="21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计算机科学与技术，软件工程</w:t>
            </w:r>
            <w:r>
              <w:rPr>
                <w:rFonts w:hint="eastAsia" w:ascii="楷体_GB2312" w:hAnsi="楷体_GB2312" w:eastAsia="楷体_GB2312" w:cs="楷体_GB2312"/>
                <w:szCs w:val="21"/>
                <w:lang w:eastAsia="zh-CN"/>
              </w:rPr>
              <w:t>，</w:t>
            </w:r>
            <w:r>
              <w:rPr>
                <w:rFonts w:hint="eastAsia" w:ascii="楷体_GB2312" w:hAnsi="楷体_GB2312" w:eastAsia="楷体_GB2312" w:cs="楷体_GB2312"/>
                <w:szCs w:val="21"/>
                <w:lang w:val="en-US" w:eastAsia="zh-CN"/>
              </w:rPr>
              <w:t>人工智能</w:t>
            </w:r>
          </w:p>
        </w:tc>
      </w:tr>
    </w:tbl>
    <w:p>
      <w:pPr>
        <w:widowControl/>
        <w:jc w:val="left"/>
        <w:rPr>
          <w:rFonts w:hint="eastAsia" w:ascii="楷体_GB2312" w:hAnsi="楷体_GB2312" w:eastAsia="楷体_GB2312" w:cs="楷体_GB2312"/>
          <w:spacing w:val="15"/>
          <w:kern w:val="0"/>
          <w:sz w:val="32"/>
          <w:szCs w:val="32"/>
        </w:rPr>
      </w:pPr>
    </w:p>
    <w:p>
      <w:pPr>
        <w:widowControl/>
        <w:spacing w:after="156" w:afterLines="50" w:line="360" w:lineRule="auto"/>
        <w:jc w:val="both"/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</w:pPr>
    </w:p>
    <w:p>
      <w:pPr>
        <w:widowControl/>
        <w:spacing w:after="156" w:afterLines="50" w:line="360" w:lineRule="auto"/>
        <w:jc w:val="both"/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  <w:t>二、实验课的地位、作用和目的</w:t>
      </w:r>
    </w:p>
    <w:p>
      <w:pPr>
        <w:spacing w:line="240" w:lineRule="auto"/>
        <w:ind w:firstLine="560" w:firstLineChars="20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本课程的教学任务是使学生掌握操作系统的基本概念、构造与原理。包括：操作系统引论、进程管理、处理机调度与死锁、存储器管理、设备管理、文件管理、操作系统接口。</w:t>
      </w:r>
    </w:p>
    <w:p>
      <w:pPr>
        <w:spacing w:line="240" w:lineRule="auto"/>
        <w:ind w:firstLine="560" w:firstLineChars="20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操作系统课程实验是操作系统课程教学中的重要实践环节，其目的是在使学生掌握基本概念的基础上，通过编写具体程序加深对操作系统基本理论的理解，提高用理论指导实践的能力。</w:t>
      </w:r>
    </w:p>
    <w:p>
      <w:pPr>
        <w:spacing w:line="240" w:lineRule="auto"/>
        <w:ind w:firstLine="560" w:firstLineChars="200"/>
        <w:rPr>
          <w:rFonts w:hint="eastAsia" w:ascii="楷体_GB2312" w:hAnsi="楷体_GB2312" w:eastAsia="楷体_GB2312" w:cs="楷体_GB2312"/>
          <w:sz w:val="28"/>
          <w:szCs w:val="28"/>
        </w:rPr>
      </w:pPr>
      <w:r>
        <w:rPr>
          <w:rFonts w:hint="eastAsia" w:ascii="楷体_GB2312" w:hAnsi="楷体_GB2312" w:eastAsia="楷体_GB2312" w:cs="楷体_GB2312"/>
          <w:sz w:val="28"/>
          <w:szCs w:val="28"/>
        </w:rPr>
        <w:t>通过课堂教学和实验相结合的方法，学生应该通过实验加深理解和更好地掌握操作系统的基本概念、原理、技术和方法，巩固所学知识，激发实验兴趣，掌握实验要领，培养对操作系统课程所学知识融会贯通和综合运用的能力。</w:t>
      </w:r>
    </w:p>
    <w:p>
      <w:pPr>
        <w:pStyle w:val="6"/>
        <w:spacing w:before="0" w:after="0"/>
        <w:jc w:val="both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widowControl/>
        <w:spacing w:after="156" w:afterLines="50" w:line="360" w:lineRule="auto"/>
        <w:jc w:val="both"/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</w:pPr>
    </w:p>
    <w:p>
      <w:pPr>
        <w:widowControl/>
        <w:spacing w:after="156" w:afterLines="50" w:line="360" w:lineRule="auto"/>
        <w:jc w:val="both"/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</w:pPr>
    </w:p>
    <w:p>
      <w:pPr>
        <w:widowControl/>
        <w:spacing w:after="156" w:afterLines="50" w:line="360" w:lineRule="auto"/>
        <w:jc w:val="both"/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</w:pPr>
    </w:p>
    <w:p>
      <w:pPr>
        <w:widowControl/>
        <w:spacing w:after="156" w:afterLines="50" w:line="360" w:lineRule="auto"/>
        <w:jc w:val="both"/>
        <w:rPr>
          <w:rFonts w:hint="default" w:ascii="楷体_GB2312" w:hAnsi="楷体_GB2312" w:eastAsia="楷体_GB2312" w:cs="楷体_GB2312"/>
          <w:spacing w:val="15"/>
          <w:kern w:val="0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</w:rPr>
        <w:t>三、实验</w:t>
      </w:r>
      <w:r>
        <w:rPr>
          <w:rFonts w:hint="eastAsia" w:ascii="楷体_GB2312" w:hAnsi="楷体_GB2312" w:eastAsia="楷体_GB2312" w:cs="楷体_GB2312"/>
          <w:b/>
          <w:bCs/>
          <w:spacing w:val="15"/>
          <w:kern w:val="0"/>
          <w:sz w:val="32"/>
          <w:szCs w:val="32"/>
          <w:lang w:val="en-US" w:eastAsia="zh-CN"/>
        </w:rPr>
        <w:t>进度安排</w:t>
      </w:r>
    </w:p>
    <w:p>
      <w:pPr>
        <w:widowControl/>
        <w:spacing w:after="50" w:line="360" w:lineRule="auto"/>
        <w:ind w:left="1368" w:leftChars="21" w:hanging="1324" w:hangingChars="490"/>
        <w:jc w:val="left"/>
        <w:rPr>
          <w:rFonts w:hint="default" w:ascii="楷体_GB2312" w:hAnsi="楷体_GB2312" w:eastAsia="楷体_GB2312" w:cs="楷体_GB2312"/>
          <w:spacing w:val="15"/>
          <w:kern w:val="0"/>
          <w:sz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spacing w:val="15"/>
          <w:kern w:val="0"/>
          <w:sz w:val="24"/>
        </w:rPr>
        <w:t>课程名称：</w:t>
      </w:r>
      <w:r>
        <w:rPr>
          <w:rFonts w:hint="eastAsia" w:ascii="楷体_GB2312" w:hAnsi="楷体_GB2312" w:eastAsia="楷体_GB2312" w:cs="楷体_GB2312"/>
          <w:bCs/>
        </w:rPr>
        <w:t>操作系统</w:t>
      </w:r>
      <w:r>
        <w:rPr>
          <w:rFonts w:hint="eastAsia" w:ascii="楷体_GB2312" w:hAnsi="楷体_GB2312" w:eastAsia="楷体_GB2312" w:cs="楷体_GB2312"/>
          <w:bCs/>
          <w:lang w:val="en-US" w:eastAsia="zh-CN"/>
        </w:rPr>
        <w:t>课程实习</w:t>
      </w:r>
    </w:p>
    <w:p>
      <w:pPr>
        <w:widowControl/>
        <w:jc w:val="left"/>
        <w:rPr>
          <w:rFonts w:hint="eastAsia" w:ascii="楷体_GB2312" w:hAnsi="楷体_GB2312" w:eastAsia="楷体_GB2312" w:cs="楷体_GB2312"/>
          <w:spacing w:val="15"/>
          <w:kern w:val="0"/>
          <w:sz w:val="24"/>
        </w:rPr>
      </w:pPr>
      <w:r>
        <w:rPr>
          <w:rFonts w:hint="eastAsia" w:ascii="楷体_GB2312" w:hAnsi="楷体_GB2312" w:eastAsia="楷体_GB2312" w:cs="楷体_GB2312"/>
          <w:b/>
          <w:spacing w:val="15"/>
          <w:kern w:val="0"/>
          <w:sz w:val="24"/>
        </w:rPr>
        <w:t>实验对象：</w:t>
      </w:r>
      <w:r>
        <w:rPr>
          <w:rFonts w:hint="eastAsia" w:ascii="楷体_GB2312" w:hAnsi="楷体_GB2312" w:eastAsia="楷体_GB2312" w:cs="楷体_GB2312"/>
        </w:rPr>
        <w:t>计算机科学与技术，软件工程</w:t>
      </w:r>
      <w:r>
        <w:rPr>
          <w:rFonts w:hint="eastAsia" w:ascii="楷体_GB2312" w:hAnsi="楷体_GB2312" w:eastAsia="楷体_GB2312" w:cs="楷体_GB2312"/>
          <w:lang w:eastAsia="zh-CN"/>
        </w:rPr>
        <w:t>，</w:t>
      </w:r>
      <w:r>
        <w:rPr>
          <w:rFonts w:hint="eastAsia" w:ascii="楷体_GB2312" w:hAnsi="楷体_GB2312" w:eastAsia="楷体_GB2312" w:cs="楷体_GB2312"/>
          <w:lang w:val="en-US" w:eastAsia="zh-CN"/>
        </w:rPr>
        <w:t>人工智能</w:t>
      </w:r>
      <w:r>
        <w:rPr>
          <w:rFonts w:hint="eastAsia" w:ascii="楷体_GB2312" w:hAnsi="楷体_GB2312" w:eastAsia="楷体_GB2312" w:cs="楷体_GB2312"/>
          <w:bCs/>
          <w:szCs w:val="21"/>
        </w:rPr>
        <w:t xml:space="preserve">           </w:t>
      </w:r>
      <w:r>
        <w:rPr>
          <w:rFonts w:hint="eastAsia" w:ascii="楷体_GB2312" w:hAnsi="楷体_GB2312" w:eastAsia="楷体_GB2312" w:cs="楷体_GB2312"/>
          <w:bCs/>
          <w:sz w:val="24"/>
        </w:rPr>
        <w:t xml:space="preserve"> </w:t>
      </w:r>
      <w:r>
        <w:rPr>
          <w:rFonts w:hint="eastAsia" w:ascii="楷体_GB2312" w:hAnsi="楷体_GB2312" w:eastAsia="楷体_GB2312" w:cs="楷体_GB2312"/>
          <w:spacing w:val="15"/>
          <w:kern w:val="0"/>
          <w:sz w:val="24"/>
        </w:rPr>
        <w:t>实验时数</w:t>
      </w:r>
      <w:r>
        <w:rPr>
          <w:rFonts w:hint="eastAsia" w:ascii="楷体_GB2312" w:hAnsi="楷体_GB2312" w:eastAsia="楷体_GB2312" w:cs="楷体_GB2312"/>
          <w:spacing w:val="15"/>
          <w:kern w:val="0"/>
          <w:szCs w:val="21"/>
        </w:rPr>
        <w:t xml:space="preserve">: </w:t>
      </w:r>
      <w:r>
        <w:rPr>
          <w:rFonts w:hint="eastAsia" w:ascii="楷体_GB2312" w:hAnsi="楷体_GB2312" w:eastAsia="楷体_GB2312" w:cs="楷体_GB2312"/>
          <w:bCs/>
          <w:szCs w:val="21"/>
        </w:rPr>
        <w:t>1周</w:t>
      </w:r>
      <w:r>
        <w:rPr>
          <w:rFonts w:hint="eastAsia" w:ascii="楷体_GB2312" w:hAnsi="楷体_GB2312" w:eastAsia="楷体_GB2312" w:cs="楷体_GB2312"/>
          <w:spacing w:val="15"/>
          <w:kern w:val="0"/>
          <w:szCs w:val="21"/>
        </w:rPr>
        <w:t xml:space="preserve">                             </w:t>
      </w:r>
      <w:r>
        <w:rPr>
          <w:rFonts w:hint="eastAsia" w:ascii="楷体_GB2312" w:hAnsi="楷体_GB2312" w:eastAsia="楷体_GB2312" w:cs="楷体_GB2312"/>
          <w:spacing w:val="15"/>
          <w:kern w:val="0"/>
          <w:sz w:val="24"/>
        </w:rPr>
        <w:t xml:space="preserve">           </w:t>
      </w:r>
    </w:p>
    <w:tbl>
      <w:tblPr>
        <w:tblStyle w:val="4"/>
        <w:tblW w:w="5106" w:type="pct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"/>
        <w:gridCol w:w="1771"/>
        <w:gridCol w:w="923"/>
        <w:gridCol w:w="707"/>
        <w:gridCol w:w="712"/>
        <w:gridCol w:w="4085"/>
      </w:tblGrid>
      <w:tr>
        <w:trPr>
          <w:trHeight w:val="438" w:hRule="atLeast"/>
        </w:trPr>
        <w:tc>
          <w:tcPr>
            <w:tcW w:w="290" w:type="pct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楷体_GB2312" w:hAnsi="楷体_GB2312" w:eastAsia="楷体_GB2312" w:cs="楷体_GB2312"/>
                <w:spacing w:val="-4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pacing w:val="-4"/>
                <w:szCs w:val="21"/>
              </w:rPr>
              <w:t>序号</w:t>
            </w:r>
          </w:p>
        </w:tc>
        <w:tc>
          <w:tcPr>
            <w:tcW w:w="1017" w:type="pct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实验项目</w:t>
            </w:r>
          </w:p>
        </w:tc>
        <w:tc>
          <w:tcPr>
            <w:tcW w:w="530" w:type="pct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时数</w:t>
            </w:r>
          </w:p>
        </w:tc>
        <w:tc>
          <w:tcPr>
            <w:tcW w:w="406" w:type="pct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必开</w:t>
            </w:r>
          </w:p>
        </w:tc>
        <w:tc>
          <w:tcPr>
            <w:tcW w:w="409" w:type="pct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选开</w:t>
            </w:r>
          </w:p>
        </w:tc>
        <w:tc>
          <w:tcPr>
            <w:tcW w:w="2346" w:type="pct"/>
            <w:noWrap w:val="0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Cs w:val="21"/>
              </w:rPr>
            </w:pPr>
            <w:r>
              <w:rPr>
                <w:rFonts w:hint="eastAsia" w:ascii="楷体_GB2312" w:hAnsi="楷体_GB2312" w:eastAsia="楷体_GB2312" w:cs="楷体_GB2312"/>
                <w:szCs w:val="21"/>
              </w:rPr>
              <w:t>内容提要</w:t>
            </w:r>
          </w:p>
        </w:tc>
      </w:tr>
      <w:tr>
        <w:trPr>
          <w:trHeight w:val="1020" w:hRule="atLeast"/>
        </w:trPr>
        <w:tc>
          <w:tcPr>
            <w:tcW w:w="290" w:type="pct"/>
            <w:noWrap w:val="0"/>
            <w:vAlign w:val="center"/>
          </w:tcPr>
          <w:p>
            <w:pPr>
              <w:spacing w:line="240" w:lineRule="auto"/>
              <w:rPr>
                <w:rFonts w:hint="eastAsia" w:ascii="楷体_GB2312" w:hAnsi="楷体_GB2312" w:eastAsia="楷体_GB2312" w:cs="楷体_GB2312"/>
                <w:sz w:val="24"/>
                <w:szCs w:val="24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1</w:t>
            </w:r>
          </w:p>
        </w:tc>
        <w:tc>
          <w:tcPr>
            <w:tcW w:w="1017" w:type="pct"/>
            <w:noWrap w:val="0"/>
            <w:vAlign w:val="center"/>
          </w:tcPr>
          <w:p>
            <w:pPr>
              <w:spacing w:line="240" w:lineRule="auto"/>
              <w:rPr>
                <w:rFonts w:hint="eastAsia" w:ascii="楷体_GB2312" w:hAnsi="楷体_GB2312" w:eastAsia="楷体_GB2312" w:cs="楷体_GB2312"/>
                <w:sz w:val="24"/>
                <w:szCs w:val="24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进程调度</w:t>
            </w:r>
          </w:p>
        </w:tc>
        <w:tc>
          <w:tcPr>
            <w:tcW w:w="530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1.5天</w:t>
            </w:r>
          </w:p>
        </w:tc>
        <w:tc>
          <w:tcPr>
            <w:tcW w:w="406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√</w:t>
            </w:r>
          </w:p>
        </w:tc>
        <w:tc>
          <w:tcPr>
            <w:tcW w:w="409" w:type="pct"/>
            <w:noWrap w:val="0"/>
            <w:vAlign w:val="center"/>
          </w:tcPr>
          <w:p>
            <w:pPr>
              <w:spacing w:line="240" w:lineRule="auto"/>
              <w:rPr>
                <w:rFonts w:hint="eastAsia" w:ascii="楷体_GB2312" w:hAnsi="楷体_GB2312" w:eastAsia="楷体_GB2312" w:cs="楷体_GB2312"/>
                <w:sz w:val="24"/>
                <w:szCs w:val="24"/>
              </w:rPr>
            </w:pPr>
          </w:p>
        </w:tc>
        <w:tc>
          <w:tcPr>
            <w:tcW w:w="2346" w:type="pct"/>
            <w:noWrap w:val="0"/>
            <w:vAlign w:val="center"/>
          </w:tcPr>
          <w:p>
            <w:pPr>
              <w:spacing w:line="240" w:lineRule="auto"/>
              <w:rPr>
                <w:rFonts w:hint="eastAsia" w:ascii="楷体_GB2312" w:hAnsi="楷体_GB2312" w:eastAsia="楷体_GB2312" w:cs="楷体_GB2312"/>
                <w:sz w:val="24"/>
                <w:szCs w:val="22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2"/>
              </w:rPr>
              <w:t>加深对进程调度的理解，熟悉进程调度的不同算法，比较其优劣性。</w:t>
            </w:r>
          </w:p>
        </w:tc>
      </w:tr>
      <w:tr>
        <w:trPr>
          <w:trHeight w:val="1020" w:hRule="atLeast"/>
        </w:trPr>
        <w:tc>
          <w:tcPr>
            <w:tcW w:w="290" w:type="pct"/>
            <w:noWrap w:val="0"/>
            <w:vAlign w:val="center"/>
          </w:tcPr>
          <w:p>
            <w:pPr>
              <w:spacing w:line="240" w:lineRule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017" w:type="pct"/>
            <w:noWrap w:val="0"/>
            <w:vAlign w:val="center"/>
          </w:tcPr>
          <w:p>
            <w:pPr>
              <w:spacing w:line="240" w:lineRule="auto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进程同步与互斥</w:t>
            </w:r>
          </w:p>
        </w:tc>
        <w:tc>
          <w:tcPr>
            <w:tcW w:w="530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1.0天</w:t>
            </w:r>
          </w:p>
        </w:tc>
        <w:tc>
          <w:tcPr>
            <w:tcW w:w="406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√</w:t>
            </w:r>
          </w:p>
        </w:tc>
        <w:tc>
          <w:tcPr>
            <w:tcW w:w="409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</w:rPr>
            </w:pPr>
          </w:p>
        </w:tc>
        <w:tc>
          <w:tcPr>
            <w:tcW w:w="2346" w:type="pct"/>
            <w:noWrap w:val="0"/>
            <w:vAlign w:val="center"/>
          </w:tcPr>
          <w:p>
            <w:pPr>
              <w:spacing w:line="240" w:lineRule="auto"/>
              <w:rPr>
                <w:rFonts w:hint="eastAsia" w:ascii="楷体_GB2312" w:hAnsi="楷体_GB2312" w:eastAsia="楷体_GB2312" w:cs="楷体_GB2312"/>
                <w:sz w:val="24"/>
                <w:szCs w:val="22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2"/>
              </w:rPr>
              <w:t>分析进程争用资源的现象，学习解决进程互斥的方法。</w:t>
            </w:r>
          </w:p>
        </w:tc>
      </w:tr>
      <w:tr>
        <w:trPr>
          <w:trHeight w:val="1020" w:hRule="atLeast"/>
        </w:trPr>
        <w:tc>
          <w:tcPr>
            <w:tcW w:w="290" w:type="pct"/>
            <w:noWrap w:val="0"/>
            <w:vAlign w:val="center"/>
          </w:tcPr>
          <w:p>
            <w:pPr>
              <w:spacing w:line="240" w:lineRule="auto"/>
              <w:rPr>
                <w:rFonts w:hint="default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017" w:type="pct"/>
            <w:noWrap w:val="0"/>
            <w:vAlign w:val="center"/>
          </w:tcPr>
          <w:p>
            <w:pPr>
              <w:spacing w:line="240" w:lineRule="auto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存储管理</w:t>
            </w:r>
          </w:p>
        </w:tc>
        <w:tc>
          <w:tcPr>
            <w:tcW w:w="530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.5</w:t>
            </w: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天</w:t>
            </w:r>
          </w:p>
        </w:tc>
        <w:tc>
          <w:tcPr>
            <w:tcW w:w="406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√</w:t>
            </w:r>
          </w:p>
        </w:tc>
        <w:tc>
          <w:tcPr>
            <w:tcW w:w="409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46" w:type="pct"/>
            <w:noWrap w:val="0"/>
            <w:vAlign w:val="center"/>
          </w:tcPr>
          <w:p>
            <w:pPr>
              <w:spacing w:line="240" w:lineRule="auto"/>
              <w:rPr>
                <w:rFonts w:hint="eastAsia" w:ascii="楷体_GB2312" w:hAnsi="楷体_GB2312" w:eastAsia="楷体_GB2312" w:cs="楷体_GB2312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2"/>
              </w:rPr>
              <w:t>通过请求页式存储管理中页面置换算法设计，了解存储技术的特点，掌握请求页式存储管理的页面置换算法。</w:t>
            </w:r>
          </w:p>
        </w:tc>
      </w:tr>
      <w:tr>
        <w:trPr>
          <w:trHeight w:val="1020" w:hRule="atLeast"/>
        </w:trPr>
        <w:tc>
          <w:tcPr>
            <w:tcW w:w="290" w:type="pct"/>
            <w:noWrap w:val="0"/>
            <w:vAlign w:val="center"/>
          </w:tcPr>
          <w:p>
            <w:pPr>
              <w:spacing w:line="240" w:lineRule="auto"/>
              <w:rPr>
                <w:rFonts w:hint="default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017" w:type="pct"/>
            <w:noWrap w:val="0"/>
            <w:vAlign w:val="center"/>
          </w:tcPr>
          <w:p>
            <w:pPr>
              <w:spacing w:line="240" w:lineRule="auto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撰写实验报告</w:t>
            </w:r>
          </w:p>
        </w:tc>
        <w:tc>
          <w:tcPr>
            <w:tcW w:w="530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1.0天</w:t>
            </w:r>
          </w:p>
        </w:tc>
        <w:tc>
          <w:tcPr>
            <w:tcW w:w="406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√</w:t>
            </w:r>
          </w:p>
        </w:tc>
        <w:tc>
          <w:tcPr>
            <w:tcW w:w="409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46" w:type="pct"/>
            <w:noWrap w:val="0"/>
            <w:vAlign w:val="center"/>
          </w:tcPr>
          <w:p>
            <w:pPr>
              <w:spacing w:line="240" w:lineRule="auto"/>
              <w:rPr>
                <w:rFonts w:hint="default" w:ascii="楷体_GB2312" w:hAnsi="楷体_GB2312" w:eastAsia="楷体_GB2312" w:cs="楷体_GB2312"/>
                <w:sz w:val="24"/>
                <w:szCs w:val="22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2"/>
                <w:lang w:val="en-US" w:eastAsia="zh-CN"/>
              </w:rPr>
              <w:t>根据格式规范要求，撰写报告，准备面批。</w:t>
            </w:r>
          </w:p>
        </w:tc>
      </w:tr>
      <w:tr>
        <w:trPr>
          <w:trHeight w:val="1020" w:hRule="atLeast"/>
        </w:trPr>
        <w:tc>
          <w:tcPr>
            <w:tcW w:w="290" w:type="pct"/>
            <w:noWrap w:val="0"/>
            <w:vAlign w:val="center"/>
          </w:tcPr>
          <w:p>
            <w:pPr>
              <w:spacing w:line="240" w:lineRule="auto"/>
              <w:rPr>
                <w:rFonts w:hint="default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017" w:type="pct"/>
            <w:noWrap w:val="0"/>
            <w:vAlign w:val="center"/>
          </w:tcPr>
          <w:p>
            <w:pPr>
              <w:spacing w:line="240" w:lineRule="auto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指导老师面批</w:t>
            </w:r>
          </w:p>
        </w:tc>
        <w:tc>
          <w:tcPr>
            <w:tcW w:w="530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待定</w:t>
            </w:r>
          </w:p>
        </w:tc>
        <w:tc>
          <w:tcPr>
            <w:tcW w:w="406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  <w:tc>
          <w:tcPr>
            <w:tcW w:w="409" w:type="pct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楷体_GB2312" w:hAnsi="楷体_GB2312" w:eastAsia="楷体_GB2312" w:cs="楷体_GB2312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46" w:type="pct"/>
            <w:noWrap w:val="0"/>
            <w:vAlign w:val="center"/>
          </w:tcPr>
          <w:p>
            <w:pPr>
              <w:spacing w:line="240" w:lineRule="auto"/>
              <w:rPr>
                <w:rFonts w:hint="default" w:ascii="楷体_GB2312" w:hAnsi="楷体_GB2312" w:eastAsia="楷体_GB2312" w:cs="楷体_GB2312"/>
                <w:sz w:val="24"/>
                <w:szCs w:val="22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2"/>
                <w:lang w:val="en-US" w:eastAsia="zh-CN"/>
              </w:rPr>
              <w:t>指导老师面批，要求报告格式规范，算法调试通过，对算法原理讲解清楚。</w:t>
            </w:r>
          </w:p>
        </w:tc>
      </w:tr>
    </w:tbl>
    <w:p>
      <w:pPr>
        <w:widowControl/>
        <w:jc w:val="left"/>
        <w:rPr>
          <w:rFonts w:hint="eastAsia" w:ascii="楷体_GB2312" w:hAnsi="楷体_GB2312" w:eastAsia="楷体_GB2312" w:cs="楷体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38"/>
    <w:rsid w:val="000235EB"/>
    <w:rsid w:val="0006473F"/>
    <w:rsid w:val="00073402"/>
    <w:rsid w:val="000E519A"/>
    <w:rsid w:val="00100E09"/>
    <w:rsid w:val="00157764"/>
    <w:rsid w:val="00226084"/>
    <w:rsid w:val="002916FA"/>
    <w:rsid w:val="002E7D11"/>
    <w:rsid w:val="003271AA"/>
    <w:rsid w:val="00474C6C"/>
    <w:rsid w:val="004E7B0E"/>
    <w:rsid w:val="00576CF3"/>
    <w:rsid w:val="00590BF7"/>
    <w:rsid w:val="005B1BE0"/>
    <w:rsid w:val="005C6426"/>
    <w:rsid w:val="00634E69"/>
    <w:rsid w:val="007275F6"/>
    <w:rsid w:val="00727C43"/>
    <w:rsid w:val="008114D2"/>
    <w:rsid w:val="008D47DD"/>
    <w:rsid w:val="009066CD"/>
    <w:rsid w:val="0096094E"/>
    <w:rsid w:val="0096136B"/>
    <w:rsid w:val="009A5872"/>
    <w:rsid w:val="009C1038"/>
    <w:rsid w:val="009F2E72"/>
    <w:rsid w:val="00A4221D"/>
    <w:rsid w:val="00AC672F"/>
    <w:rsid w:val="00AE308F"/>
    <w:rsid w:val="00AE3A73"/>
    <w:rsid w:val="00B01C1C"/>
    <w:rsid w:val="00BB68F5"/>
    <w:rsid w:val="00BE370F"/>
    <w:rsid w:val="00BF6049"/>
    <w:rsid w:val="00C33DA6"/>
    <w:rsid w:val="00C828AA"/>
    <w:rsid w:val="00C95C0B"/>
    <w:rsid w:val="00D4734B"/>
    <w:rsid w:val="00D5532E"/>
    <w:rsid w:val="00D56AD4"/>
    <w:rsid w:val="00D80E6C"/>
    <w:rsid w:val="00DE16EA"/>
    <w:rsid w:val="00E07D93"/>
    <w:rsid w:val="00EC4BE4"/>
    <w:rsid w:val="00FB65AA"/>
    <w:rsid w:val="00FD7882"/>
    <w:rsid w:val="4BE7F5B5"/>
    <w:rsid w:val="54EDE8CD"/>
    <w:rsid w:val="7BB6B285"/>
    <w:rsid w:val="7F37FA7A"/>
    <w:rsid w:val="EFFD07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bt2"/>
    <w:basedOn w:val="1"/>
    <w:uiPriority w:val="0"/>
    <w:pPr>
      <w:spacing w:before="360" w:after="240"/>
      <w:jc w:val="center"/>
    </w:pPr>
    <w:rPr>
      <w:rFonts w:ascii="楷体_GB2312" w:eastAsia="楷体_GB2312" w:cs="宋体"/>
      <w:sz w:val="32"/>
    </w:rPr>
  </w:style>
  <w:style w:type="character" w:customStyle="1" w:styleId="7">
    <w:name w:val="页眉 Char"/>
    <w:link w:val="3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Char"/>
    <w:link w:val="2"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njfu</Company>
  <Pages>1</Pages>
  <Words>91</Words>
  <Characters>525</Characters>
  <Lines>4</Lines>
  <Paragraphs>1</Paragraphs>
  <TotalTime>2</TotalTime>
  <ScaleCrop>false</ScaleCrop>
  <LinksUpToDate>false</LinksUpToDate>
  <CharactersWithSpaces>615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2009-12-23T04:41:00Z</dcterms:created>
  <dc:creator>FtpDown</dc:creator>
  <cp:lastModifiedBy>Leo.Zhang</cp:lastModifiedBy>
  <dcterms:modified xsi:type="dcterms:W3CDTF">2023-12-16T23:17:13Z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6974D77E278E200B40B87D65A4FE3A37_42</vt:lpwstr>
  </property>
</Properties>
</file>