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8C"/>
          <w:sz w:val="52"/>
        </w:rPr>
        <w:t>ARPlus</w:t>
        <w:br/>
        <w:t>Guide d’utilisation</w:t>
      </w:r>
    </w:p>
    <w:p>
      <w:pPr>
        <w:jc w:val="center"/>
      </w:pPr>
      <w:r>
        <w:rPr>
          <w:i/>
          <w:color w:val="475569"/>
          <w:sz w:val="24"/>
        </w:rPr>
        <w:t>Prise en main rapide, workflow conseillé et repères visuels</w:t>
      </w:r>
    </w:p>
    <w:tbl>
      <w:tblPr>
        <w:tblW w:type="auto" w:w="0"/>
        <w:jc w:val="center"/>
        <w:tblLook w:firstColumn="1" w:firstRow="1" w:lastColumn="0" w:lastRow="0" w:noHBand="0" w:noVBand="1" w:val="04A0"/>
      </w:tblPr>
      <w:tblGrid>
        <w:gridCol w:w="10200"/>
      </w:tblGrid>
      <w:tr>
        <w:tc>
          <w:tcPr>
            <w:tcW w:type="dxa" w:w="10200"/>
            <w:shd w:fill="EAF2FF"/>
            <w:tcMar>
              <w:top w:w="120" w:type="dxa"/>
              <w:start w:w="140" w:type="dxa"/>
              <w:bottom w:w="120" w:type="dxa"/>
              <w:end w:w="140" w:type="dxa"/>
            </w:tcMar>
          </w:tcPr>
          <w:p>
            <w:pPr>
              <w:jc w:val="left"/>
            </w:pPr>
            <w:r>
              <w:rPr>
                <w:color w:val="1E40AF"/>
                <w:sz w:val="21"/>
              </w:rPr>
              <w:t>Ce guide a été rédigé à partir du README, du changelog et de l’interface décrite dans le code ARPlus. Les visuels inclus sont des schémas explicatifs pour faciliter la prise en main.</w:t>
            </w:r>
          </w:p>
        </w:tc>
      </w:tr>
    </w:tbl>
    <w:p/>
    <w:p>
      <w:pPr>
        <w:jc w:val="center"/>
      </w:pPr>
      <w:r>
        <w:drawing>
          <wp:inline xmlns:a="http://schemas.openxmlformats.org/drawingml/2006/main" xmlns:pic="http://schemas.openxmlformats.org/drawingml/2006/picture">
            <wp:extent cx="5940000" cy="3341250"/>
            <wp:docPr id="1" name="Picture 1"/>
            <wp:cNvGraphicFramePr>
              <a:graphicFrameLocks noChangeAspect="1"/>
            </wp:cNvGraphicFramePr>
            <a:graphic>
              <a:graphicData uri="http://schemas.openxmlformats.org/drawingml/2006/picture">
                <pic:pic>
                  <pic:nvPicPr>
                    <pic:cNvPr id="0" name="schema_main.png"/>
                    <pic:cNvPicPr/>
                  </pic:nvPicPr>
                  <pic:blipFill>
                    <a:blip r:embed="rId9"/>
                    <a:stretch>
                      <a:fillRect/>
                    </a:stretch>
                  </pic:blipFill>
                  <pic:spPr>
                    <a:xfrm>
                      <a:off x="0" y="0"/>
                      <a:ext cx="5940000" cy="3341250"/>
                    </a:xfrm>
                    <a:prstGeom prst="rect"/>
                  </pic:spPr>
                </pic:pic>
              </a:graphicData>
            </a:graphic>
          </wp:inline>
        </w:drawing>
      </w:r>
    </w:p>
    <w:p>
      <w:pPr>
        <w:jc w:val="center"/>
      </w:pPr>
      <w:r>
        <w:rPr>
          <w:i/>
          <w:color w:val="64748B"/>
          <w:sz w:val="18"/>
        </w:rPr>
        <w:t>Schéma général de l’interface ARPlus</w:t>
      </w:r>
    </w:p>
    <w:p>
      <w:r>
        <w:br w:type="page"/>
      </w:r>
    </w:p>
    <w:p>
      <w:pPr>
        <w:pStyle w:val="Heading1"/>
      </w:pPr>
      <w:r>
        <w:t>1. À quoi sert ARPlus</w:t>
      </w:r>
    </w:p>
    <w:p>
      <w:r>
        <w:t>ARPlus est une application desktop Python de composition visuelle multi-calques, pensée pour préparer rapidement plusieurs sorties à partir d’un même visuel de base.</w:t>
      </w:r>
    </w:p>
    <w:p>
      <w:pPr>
        <w:pStyle w:val="ListBullet"/>
      </w:pPr>
      <w:r>
        <w:rPr>
          <w:rFonts w:ascii="Arial" w:hAnsi="Arial"/>
          <w:sz w:val="21"/>
        </w:rPr>
        <w:t>Interface en français avec preview temps réel.</w:t>
      </w:r>
    </w:p>
    <w:p>
      <w:pPr>
        <w:pStyle w:val="ListBullet"/>
      </w:pPr>
      <w:r>
        <w:rPr>
          <w:rFonts w:ascii="Arial" w:hAnsi="Arial"/>
          <w:sz w:val="21"/>
        </w:rPr>
        <w:t>Imports d’images PNG, JPG, JPEG et WEBP.</w:t>
      </w:r>
    </w:p>
    <w:p>
      <w:pPr>
        <w:pStyle w:val="ListBullet"/>
      </w:pPr>
      <w:r>
        <w:rPr>
          <w:rFonts w:ascii="Arial" w:hAnsi="Arial"/>
          <w:sz w:val="21"/>
        </w:rPr>
        <w:t>Gestion de plusieurs calques : fond, personnage principal, personnages 2 à 4, logo, gradient.</w:t>
      </w:r>
    </w:p>
    <w:p>
      <w:pPr>
        <w:pStyle w:val="ListBullet"/>
      </w:pPr>
      <w:r>
        <w:rPr>
          <w:rFonts w:ascii="Arial" w:hAnsi="Arial"/>
          <w:sz w:val="21"/>
        </w:rPr>
        <w:t>Exports vers plusieurs formats fixes : Poster, Poster sans logo, FullScreen+Logo, Hero Banner, Logo, Background, Background sans logo, ainsi que TOP 1 à TOP 5.</w:t>
      </w:r>
    </w:p>
    <w:p>
      <w:pPr>
        <w:pStyle w:val="ListBullet"/>
      </w:pPr>
      <w:r>
        <w:rPr>
          <w:rFonts w:ascii="Arial" w:hAnsi="Arial"/>
          <w:sz w:val="21"/>
        </w:rPr>
        <w:t>Logo image ou logo texte, avec choix de typo locale et ajout de typo via DaFont.</w:t>
      </w:r>
    </w:p>
    <w:p>
      <w:pPr>
        <w:pStyle w:val="ListBullet"/>
      </w:pPr>
      <w:r>
        <w:rPr>
          <w:rFonts w:ascii="Arial" w:hAnsi="Arial"/>
          <w:sz w:val="21"/>
        </w:rPr>
        <w:t>Sauvegarde/import de projet au format .arplus.json.</w:t>
      </w:r>
    </w:p>
    <w:p>
      <w:pPr>
        <w:pStyle w:val="Heading1"/>
      </w:pPr>
      <w:r>
        <w:t>2. Logique générale de travail</w:t>
      </w:r>
    </w:p>
    <w:p>
      <w:pPr>
        <w:jc w:val="center"/>
      </w:pPr>
      <w:r>
        <w:drawing>
          <wp:inline xmlns:a="http://schemas.openxmlformats.org/drawingml/2006/main" xmlns:pic="http://schemas.openxmlformats.org/drawingml/2006/picture">
            <wp:extent cx="6120000" cy="2856000"/>
            <wp:docPr id="2" name="Picture 2"/>
            <wp:cNvGraphicFramePr>
              <a:graphicFrameLocks noChangeAspect="1"/>
            </wp:cNvGraphicFramePr>
            <a:graphic>
              <a:graphicData uri="http://schemas.openxmlformats.org/drawingml/2006/picture">
                <pic:pic>
                  <pic:nvPicPr>
                    <pic:cNvPr id="0" name="schema_flow.png"/>
                    <pic:cNvPicPr/>
                  </pic:nvPicPr>
                  <pic:blipFill>
                    <a:blip r:embed="rId10"/>
                    <a:stretch>
                      <a:fillRect/>
                    </a:stretch>
                  </pic:blipFill>
                  <pic:spPr>
                    <a:xfrm>
                      <a:off x="0" y="0"/>
                      <a:ext cx="6120000" cy="2856000"/>
                    </a:xfrm>
                    <a:prstGeom prst="rect"/>
                  </pic:spPr>
                </pic:pic>
              </a:graphicData>
            </a:graphic>
          </wp:inline>
        </w:drawing>
      </w:r>
    </w:p>
    <w:p>
      <w:pPr>
        <w:jc w:val="center"/>
      </w:pPr>
      <w:r>
        <w:rPr>
          <w:i/>
          <w:color w:val="64748B"/>
          <w:sz w:val="18"/>
        </w:rPr>
        <w:t>Flux conseillé pour travailler proprement dans ARPlus</w:t>
      </w:r>
    </w:p>
    <w:p>
      <w:r>
        <w:t>Ordre recommandé :</w:t>
      </w:r>
    </w:p>
    <w:p>
      <w:pPr>
        <w:pStyle w:val="ListBullet"/>
      </w:pPr>
      <w:r>
        <w:rPr>
          <w:rFonts w:ascii="Arial" w:hAnsi="Arial"/>
          <w:sz w:val="21"/>
        </w:rPr>
        <w:t>Choisir d’abord le bon gabarit de travail.</w:t>
      </w:r>
    </w:p>
    <w:p>
      <w:pPr>
        <w:pStyle w:val="ListBullet"/>
      </w:pPr>
      <w:r>
        <w:rPr>
          <w:rFonts w:ascii="Arial" w:hAnsi="Arial"/>
          <w:sz w:val="21"/>
        </w:rPr>
        <w:t>Importer le fond, puis les personnages, puis le logo.</w:t>
      </w:r>
    </w:p>
    <w:p>
      <w:pPr>
        <w:pStyle w:val="ListBullet"/>
      </w:pPr>
      <w:r>
        <w:rPr>
          <w:rFonts w:ascii="Arial" w:hAnsi="Arial"/>
          <w:sz w:val="21"/>
        </w:rPr>
        <w:t>Ajuster les calques directement dans le canvas et dans le panneau de droite.</w:t>
      </w:r>
    </w:p>
    <w:p>
      <w:pPr>
        <w:pStyle w:val="ListBullet"/>
      </w:pPr>
      <w:r>
        <w:rPr>
          <w:rFonts w:ascii="Arial" w:hAnsi="Arial"/>
          <w:sz w:val="21"/>
        </w:rPr>
        <w:t>Activer ensuite le logo texte, le bandeau info, le dégradé ou l’ombre seulement si nécessaire.</w:t>
      </w:r>
    </w:p>
    <w:p>
      <w:pPr>
        <w:pStyle w:val="ListBullet"/>
      </w:pPr>
      <w:r>
        <w:rPr>
          <w:rFonts w:ascii="Arial" w:hAnsi="Arial"/>
          <w:sz w:val="21"/>
        </w:rPr>
        <w:t>Préparer les TOP à la fin, une fois le poster principal validé.</w:t>
      </w:r>
    </w:p>
    <w:p>
      <w:pPr>
        <w:pStyle w:val="ListBullet"/>
      </w:pPr>
      <w:r>
        <w:rPr>
          <w:rFonts w:ascii="Arial" w:hAnsi="Arial"/>
          <w:sz w:val="21"/>
        </w:rPr>
        <w:t>Sauvegarder le projet avant l’export final.</w:t>
      </w:r>
    </w:p>
    <w:p>
      <w:pPr>
        <w:pStyle w:val="Heading1"/>
      </w:pPr>
      <w:r>
        <w:t>3. Repères dans l’interface</w:t>
      </w:r>
    </w:p>
    <w:tbl>
      <w:tblPr>
        <w:tblStyle w:val="TableGrid"/>
        <w:tblW w:type="auto" w:w="0"/>
        <w:jc w:val="center"/>
        <w:tblLook w:firstColumn="1" w:firstRow="1" w:lastColumn="0" w:lastRow="0" w:noHBand="0" w:noVBand="1" w:val="04A0"/>
      </w:tblPr>
      <w:tblGrid>
        <w:gridCol w:w="5100"/>
        <w:gridCol w:w="5100"/>
      </w:tblGrid>
      <w:tr>
        <w:tc>
          <w:tcPr>
            <w:tcW w:type="dxa" w:w="5100"/>
            <w:shd w:fill="DCEBFF"/>
          </w:tcPr>
          <w:p>
            <w:r>
              <w:rPr>
                <w:b/>
                <w:sz w:val="21"/>
              </w:rPr>
              <w:t>Zone</w:t>
            </w:r>
          </w:p>
        </w:tc>
        <w:tc>
          <w:tcPr>
            <w:tcW w:type="dxa" w:w="5100"/>
            <w:shd w:fill="DCEBFF"/>
          </w:tcPr>
          <w:p>
            <w:r>
              <w:rPr>
                <w:b/>
                <w:sz w:val="21"/>
              </w:rPr>
              <w:t>Rôle</w:t>
            </w:r>
          </w:p>
        </w:tc>
      </w:tr>
      <w:tr>
        <w:tc>
          <w:tcPr>
            <w:tcW w:type="dxa" w:w="5100"/>
            <w:vAlign w:val="center"/>
            <w:tcMar>
              <w:top w:w="90" w:type="dxa"/>
              <w:start w:w="90" w:type="dxa"/>
              <w:bottom w:w="90" w:type="dxa"/>
              <w:end w:w="90" w:type="dxa"/>
            </w:tcMar>
          </w:tcPr>
          <w:p>
            <w:r>
              <w:rPr>
                <w:sz w:val="20"/>
              </w:rPr>
              <w:t>Gestionnaire des gabarits (gauche)</w:t>
            </w:r>
          </w:p>
        </w:tc>
        <w:tc>
          <w:tcPr>
            <w:tcW w:type="dxa" w:w="5100"/>
            <w:vAlign w:val="center"/>
            <w:tcMar>
              <w:top w:w="90" w:type="dxa"/>
              <w:start w:w="90" w:type="dxa"/>
              <w:bottom w:w="90" w:type="dxa"/>
              <w:end w:w="90" w:type="dxa"/>
            </w:tcMar>
          </w:tcPr>
          <w:p>
            <w:r>
              <w:rPr>
                <w:sz w:val="20"/>
              </w:rPr>
              <w:t>Active l’affichage des gabarits, choisit la variante de gabarit poster, gère le texte logo, les TOP, le bandeau info, le dégradé et l’ombre du logo.</w:t>
            </w:r>
          </w:p>
        </w:tc>
      </w:tr>
      <w:tr>
        <w:tc>
          <w:tcPr>
            <w:tcW w:type="dxa" w:w="5100"/>
            <w:vAlign w:val="center"/>
            <w:tcMar>
              <w:top w:w="90" w:type="dxa"/>
              <w:start w:w="90" w:type="dxa"/>
              <w:bottom w:w="90" w:type="dxa"/>
              <w:end w:w="90" w:type="dxa"/>
            </w:tcMar>
          </w:tcPr>
          <w:p>
            <w:r>
              <w:rPr>
                <w:sz w:val="20"/>
              </w:rPr>
              <w:t>Barre d’import au-dessus du canvas</w:t>
            </w:r>
          </w:p>
        </w:tc>
        <w:tc>
          <w:tcPr>
            <w:tcW w:type="dxa" w:w="5100"/>
            <w:vAlign w:val="center"/>
            <w:tcMar>
              <w:top w:w="90" w:type="dxa"/>
              <w:start w:w="90" w:type="dxa"/>
              <w:bottom w:w="90" w:type="dxa"/>
              <w:end w:w="90" w:type="dxa"/>
            </w:tcMar>
          </w:tcPr>
          <w:p>
            <w:r>
              <w:rPr>
                <w:sz w:val="20"/>
              </w:rPr>
              <w:t>Importe rapidement le fond, le personnage principal, les personnages 2/3/4 et le logo.</w:t>
            </w:r>
          </w:p>
        </w:tc>
      </w:tr>
      <w:tr>
        <w:tc>
          <w:tcPr>
            <w:tcW w:type="dxa" w:w="5100"/>
            <w:vAlign w:val="center"/>
            <w:tcMar>
              <w:top w:w="90" w:type="dxa"/>
              <w:start w:w="90" w:type="dxa"/>
              <w:bottom w:w="90" w:type="dxa"/>
              <w:end w:w="90" w:type="dxa"/>
            </w:tcMar>
          </w:tcPr>
          <w:p>
            <w:r>
              <w:rPr>
                <w:sz w:val="20"/>
              </w:rPr>
              <w:t>Canvas central</w:t>
            </w:r>
          </w:p>
        </w:tc>
        <w:tc>
          <w:tcPr>
            <w:tcW w:type="dxa" w:w="5100"/>
            <w:vAlign w:val="center"/>
            <w:tcMar>
              <w:top w:w="90" w:type="dxa"/>
              <w:start w:w="90" w:type="dxa"/>
              <w:bottom w:w="90" w:type="dxa"/>
              <w:end w:w="90" w:type="dxa"/>
            </w:tcMar>
          </w:tcPr>
          <w:p>
            <w:r>
              <w:rPr>
                <w:sz w:val="20"/>
              </w:rPr>
              <w:t>Prévisualise la composition. Les visuels se déplacent directement ici. Le zoom peut se faire avec Ctrl + molette.</w:t>
            </w:r>
          </w:p>
        </w:tc>
      </w:tr>
      <w:tr>
        <w:tc>
          <w:tcPr>
            <w:tcW w:type="dxa" w:w="5100"/>
            <w:vAlign w:val="center"/>
            <w:tcMar>
              <w:top w:w="90" w:type="dxa"/>
              <w:start w:w="90" w:type="dxa"/>
              <w:bottom w:w="90" w:type="dxa"/>
              <w:end w:w="90" w:type="dxa"/>
            </w:tcMar>
          </w:tcPr>
          <w:p>
            <w:r>
              <w:rPr>
                <w:sz w:val="20"/>
              </w:rPr>
              <w:t>Contrôles de calque (droite)</w:t>
            </w:r>
          </w:p>
        </w:tc>
        <w:tc>
          <w:tcPr>
            <w:tcW w:type="dxa" w:w="5100"/>
            <w:vAlign w:val="center"/>
            <w:tcMar>
              <w:top w:w="90" w:type="dxa"/>
              <w:start w:w="90" w:type="dxa"/>
              <w:bottom w:w="90" w:type="dxa"/>
              <w:end w:w="90" w:type="dxa"/>
            </w:tcMar>
          </w:tcPr>
          <w:p>
            <w:r>
              <w:rPr>
                <w:sz w:val="20"/>
              </w:rPr>
              <w:t>Règle le calque actif : visibilité, opacité, échelle, rotation, miroir horizontal, recentrage et réinitialisation.</w:t>
            </w:r>
          </w:p>
        </w:tc>
      </w:tr>
      <w:tr>
        <w:tc>
          <w:tcPr>
            <w:tcW w:type="dxa" w:w="5100"/>
            <w:vAlign w:val="center"/>
            <w:tcMar>
              <w:top w:w="90" w:type="dxa"/>
              <w:start w:w="90" w:type="dxa"/>
              <w:bottom w:w="90" w:type="dxa"/>
              <w:end w:w="90" w:type="dxa"/>
            </w:tcMar>
          </w:tcPr>
          <w:p>
            <w:r>
              <w:rPr>
                <w:sz w:val="20"/>
              </w:rPr>
              <w:t>Bloc Exports (droite)</w:t>
            </w:r>
          </w:p>
        </w:tc>
        <w:tc>
          <w:tcPr>
            <w:tcW w:type="dxa" w:w="5100"/>
            <w:vAlign w:val="center"/>
            <w:tcMar>
              <w:top w:w="90" w:type="dxa"/>
              <w:start w:w="90" w:type="dxa"/>
              <w:bottom w:w="90" w:type="dxa"/>
              <w:end w:w="90" w:type="dxa"/>
            </w:tcMar>
          </w:tcPr>
          <w:p>
            <w:r>
              <w:rPr>
                <w:sz w:val="20"/>
              </w:rPr>
              <w:t>Sélectionne les formats à générer, le dossier d’export, le nom du projet et les commandes de sauvegarde/import de projet.</w:t>
            </w:r>
          </w:p>
        </w:tc>
      </w:tr>
      <w:tr>
        <w:tc>
          <w:tcPr>
            <w:tcW w:type="dxa" w:w="5100"/>
            <w:vAlign w:val="center"/>
            <w:tcMar>
              <w:top w:w="90" w:type="dxa"/>
              <w:start w:w="90" w:type="dxa"/>
              <w:bottom w:w="90" w:type="dxa"/>
              <w:end w:w="90" w:type="dxa"/>
            </w:tcMar>
          </w:tcPr>
          <w:p>
            <w:r>
              <w:rPr>
                <w:sz w:val="20"/>
              </w:rPr>
              <w:t>Bande d’aperçus</w:t>
            </w:r>
          </w:p>
        </w:tc>
        <w:tc>
          <w:tcPr>
            <w:tcW w:type="dxa" w:w="5100"/>
            <w:vAlign w:val="center"/>
            <w:tcMar>
              <w:top w:w="90" w:type="dxa"/>
              <w:start w:w="90" w:type="dxa"/>
              <w:bottom w:w="90" w:type="dxa"/>
              <w:end w:w="90" w:type="dxa"/>
            </w:tcMar>
          </w:tcPr>
          <w:p>
            <w:r>
              <w:rPr>
                <w:sz w:val="20"/>
              </w:rPr>
              <w:t>Affiche les différents gabarits et permet de contrôler rapidement le rendu des sorties.</w:t>
            </w:r>
          </w:p>
        </w:tc>
      </w:tr>
    </w:tbl>
    <w:p>
      <w:pPr>
        <w:pStyle w:val="Heading1"/>
      </w:pPr>
      <w:r>
        <w:t>4. Démarrage rapide en 7 étapes</w:t>
      </w:r>
    </w:p>
    <w:p>
      <w:pPr>
        <w:spacing w:after="0"/>
      </w:pPr>
      <w:r>
        <w:rPr>
          <w:b/>
          <w:color w:val="0F172A"/>
          <w:sz w:val="23"/>
        </w:rPr>
        <w:t>Étape 1 — Créer ou ouvrir un projet</w:t>
      </w:r>
    </w:p>
    <w:p>
      <w:pPr>
        <w:spacing w:after="120"/>
        <w:ind w:left="340"/>
      </w:pPr>
      <w:r>
        <w:t>Utilisez Nouveau projet pour repartir à zéro, ou Importer projet… pour recharger un fichier .arplus.json.</w:t>
      </w:r>
    </w:p>
    <w:p>
      <w:pPr>
        <w:spacing w:after="0"/>
      </w:pPr>
      <w:r>
        <w:rPr>
          <w:b/>
          <w:color w:val="0F172A"/>
          <w:sz w:val="23"/>
        </w:rPr>
        <w:t>Étape 2 — Choisir le gabarit de référence</w:t>
      </w:r>
    </w:p>
    <w:p>
      <w:pPr>
        <w:spacing w:after="120"/>
        <w:ind w:left="340"/>
      </w:pPr>
      <w:r>
        <w:t>Commencez généralement par Poster. Vérifiez aussi la variante de gabarit poster si plusieurs modèles existent.</w:t>
      </w:r>
    </w:p>
    <w:p>
      <w:pPr>
        <w:spacing w:after="0"/>
      </w:pPr>
      <w:r>
        <w:rPr>
          <w:b/>
          <w:color w:val="0F172A"/>
          <w:sz w:val="23"/>
        </w:rPr>
        <w:t>Étape 3 — Importer le fond</w:t>
      </w:r>
    </w:p>
    <w:p>
      <w:pPr>
        <w:spacing w:after="120"/>
        <w:ind w:left="340"/>
      </w:pPr>
      <w:r>
        <w:t>Cliquez sur Importer fond et chargez l’image principale.</w:t>
      </w:r>
    </w:p>
    <w:p>
      <w:pPr>
        <w:spacing w:after="0"/>
      </w:pPr>
      <w:r>
        <w:rPr>
          <w:b/>
          <w:color w:val="0F172A"/>
          <w:sz w:val="23"/>
        </w:rPr>
        <w:t>Étape 4 — Importer les personnages</w:t>
      </w:r>
    </w:p>
    <w:p>
      <w:pPr>
        <w:spacing w:after="120"/>
        <w:ind w:left="340"/>
      </w:pPr>
      <w:r>
        <w:t>Ajoutez le personnage principal puis, si besoin, les personnages 2, 3 et 4. Ils peuvent être repositionnés séparément.</w:t>
      </w:r>
    </w:p>
    <w:p>
      <w:pPr>
        <w:spacing w:after="0"/>
      </w:pPr>
      <w:r>
        <w:rPr>
          <w:b/>
          <w:color w:val="0F172A"/>
          <w:sz w:val="23"/>
        </w:rPr>
        <w:t>Étape 5 — Importer un logo ou activer le logo texte</w:t>
      </w:r>
    </w:p>
    <w:p>
      <w:pPr>
        <w:spacing w:after="120"/>
        <w:ind w:left="340"/>
      </w:pPr>
      <w:r>
        <w:t>Soit vous chargez une image de logo, soit vous activez Logo texte et configurez le texte, l’alignement, la typo et la couleur.</w:t>
      </w:r>
    </w:p>
    <w:p>
      <w:pPr>
        <w:spacing w:after="0"/>
      </w:pPr>
      <w:r>
        <w:rPr>
          <w:b/>
          <w:color w:val="0F172A"/>
          <w:sz w:val="23"/>
        </w:rPr>
        <w:t>Étape 6 — Ajuster le rendu</w:t>
      </w:r>
    </w:p>
    <w:p>
      <w:pPr>
        <w:spacing w:after="120"/>
        <w:ind w:left="340"/>
      </w:pPr>
      <w:r>
        <w:t>Travaillez le positionnement des calques, l’opacité, l’échelle, le miroir, le dégradé, le bandeau info et l’ombre du logo.</w:t>
      </w:r>
    </w:p>
    <w:p>
      <w:pPr>
        <w:spacing w:after="0"/>
      </w:pPr>
      <w:r>
        <w:rPr>
          <w:b/>
          <w:color w:val="0F172A"/>
          <w:sz w:val="23"/>
        </w:rPr>
        <w:t>Étape 7 — Choisir les exports et lancer l’export</w:t>
      </w:r>
    </w:p>
    <w:p>
      <w:pPr>
        <w:spacing w:after="120"/>
        <w:ind w:left="340"/>
      </w:pPr>
      <w:r>
        <w:t>Cochez les formats nécessaires, définissez le dossier d’export et cliquez sur Exporter.</w:t>
      </w:r>
    </w:p>
    <w:p>
      <w:r>
        <w:br w:type="page"/>
      </w:r>
    </w:p>
    <w:p>
      <w:pPr>
        <w:pStyle w:val="Heading1"/>
      </w:pPr>
      <w:r>
        <w:t>5. Travailler les calques</w:t>
      </w:r>
    </w:p>
    <w:p>
      <w:r>
        <w:t>ARPlus gère plusieurs couches visuelles. L’idée est simple : chaque élément importé reste indépendant.</w:t>
      </w:r>
    </w:p>
    <w:p>
      <w:pPr>
        <w:pStyle w:val="ListBullet"/>
      </w:pPr>
      <w:r>
        <w:rPr>
          <w:rFonts w:ascii="Arial" w:hAnsi="Arial"/>
          <w:sz w:val="21"/>
        </w:rPr>
        <w:t>background : le fond principal.</w:t>
      </w:r>
    </w:p>
    <w:p>
      <w:pPr>
        <w:pStyle w:val="ListBullet"/>
      </w:pPr>
      <w:r>
        <w:rPr>
          <w:rFonts w:ascii="Arial" w:hAnsi="Arial"/>
          <w:sz w:val="21"/>
        </w:rPr>
        <w:t>character : le personnage principal.</w:t>
      </w:r>
    </w:p>
    <w:p>
      <w:pPr>
        <w:pStyle w:val="ListBullet"/>
      </w:pPr>
      <w:r>
        <w:rPr>
          <w:rFonts w:ascii="Arial" w:hAnsi="Arial"/>
          <w:sz w:val="21"/>
        </w:rPr>
        <w:t>character2, character3, character4 : personnages supplémentaires.</w:t>
      </w:r>
    </w:p>
    <w:p>
      <w:pPr>
        <w:pStyle w:val="ListBullet"/>
      </w:pPr>
      <w:r>
        <w:rPr>
          <w:rFonts w:ascii="Arial" w:hAnsi="Arial"/>
          <w:sz w:val="21"/>
        </w:rPr>
        <w:t>logo : logo image ou logo texte.</w:t>
      </w:r>
    </w:p>
    <w:p>
      <w:pPr>
        <w:pStyle w:val="ListBullet"/>
      </w:pPr>
      <w:r>
        <w:rPr>
          <w:rFonts w:ascii="Arial" w:hAnsi="Arial"/>
          <w:sz w:val="21"/>
        </w:rPr>
        <w:t>gradient / fx : effets visuels complémentaires selon le preset.</w:t>
      </w:r>
    </w:p>
    <w:p>
      <w:r>
        <w:t>Conseils pratiques :</w:t>
      </w:r>
    </w:p>
    <w:p>
      <w:pPr>
        <w:pStyle w:val="ListBullet"/>
        <w:ind w:left="340"/>
      </w:pPr>
      <w:r>
        <w:rPr>
          <w:rFonts w:ascii="Arial" w:hAnsi="Arial"/>
          <w:sz w:val="21"/>
        </w:rPr>
        <w:t>Sélectionnez le bon calque avant de modifier l’échelle, la rotation ou l’opacité.</w:t>
      </w:r>
    </w:p>
    <w:p>
      <w:pPr>
        <w:pStyle w:val="ListBullet"/>
        <w:ind w:left="340"/>
      </w:pPr>
      <w:r>
        <w:rPr>
          <w:rFonts w:ascii="Arial" w:hAnsi="Arial"/>
          <w:sz w:val="21"/>
        </w:rPr>
        <w:t>Déplacez les PNG détourés directement dans le canvas ; la sélection prend en compte les pixels visibles, ce qui rend le déplacement plus précis.</w:t>
      </w:r>
    </w:p>
    <w:p>
      <w:pPr>
        <w:pStyle w:val="ListBullet"/>
        <w:ind w:left="340"/>
      </w:pPr>
      <w:r>
        <w:rPr>
          <w:rFonts w:ascii="Arial" w:hAnsi="Arial"/>
          <w:sz w:val="21"/>
        </w:rPr>
        <w:t>Utilisez Miroir horizontal pour retourner rapidement un personnage.</w:t>
      </w:r>
    </w:p>
    <w:p>
      <w:pPr>
        <w:pStyle w:val="ListBullet"/>
        <w:ind w:left="340"/>
      </w:pPr>
      <w:r>
        <w:rPr>
          <w:rFonts w:ascii="Arial" w:hAnsi="Arial"/>
          <w:sz w:val="21"/>
        </w:rPr>
        <w:t>Utilisez Réinitialiser le calque si un élément est trop décalé.</w:t>
      </w:r>
    </w:p>
    <w:p>
      <w:pPr>
        <w:pStyle w:val="ListBullet"/>
        <w:ind w:left="340"/>
      </w:pPr>
      <w:r>
        <w:rPr>
          <w:rFonts w:ascii="Arial" w:hAnsi="Arial"/>
          <w:sz w:val="21"/>
        </w:rPr>
        <w:t>Ctrl + Z est pris en charge pour les actions principales.</w:t>
      </w:r>
    </w:p>
    <w:p>
      <w:pPr>
        <w:pStyle w:val="Heading1"/>
      </w:pPr>
      <w:r>
        <w:t>6. Logo texte et gestion des typos</w:t>
      </w:r>
    </w:p>
    <w:p>
      <w:r>
        <w:t>Le logo peut rester une image importée, mais ARPlus permet aussi de générer un logo texte.</w:t>
      </w:r>
    </w:p>
    <w:p>
      <w:pPr>
        <w:pStyle w:val="ListBullet"/>
      </w:pPr>
      <w:r>
        <w:rPr>
          <w:rFonts w:ascii="Arial" w:hAnsi="Arial"/>
          <w:sz w:val="21"/>
        </w:rPr>
        <w:t>Activez la case Logo texte.</w:t>
      </w:r>
    </w:p>
    <w:p>
      <w:pPr>
        <w:pStyle w:val="ListBullet"/>
      </w:pPr>
      <w:r>
        <w:rPr>
          <w:rFonts w:ascii="Arial" w:hAnsi="Arial"/>
          <w:sz w:val="21"/>
        </w:rPr>
        <w:t>Saisissez votre texte ; les retours ligne sont possibles.</w:t>
      </w:r>
    </w:p>
    <w:p>
      <w:pPr>
        <w:pStyle w:val="ListBullet"/>
      </w:pPr>
      <w:r>
        <w:rPr>
          <w:rFonts w:ascii="Arial" w:hAnsi="Arial"/>
          <w:sz w:val="21"/>
        </w:rPr>
        <w:t>Choisissez l’alignement et la couleur.</w:t>
      </w:r>
    </w:p>
    <w:p>
      <w:pPr>
        <w:pStyle w:val="ListBullet"/>
      </w:pPr>
      <w:r>
        <w:rPr>
          <w:rFonts w:ascii="Arial" w:hAnsi="Arial"/>
          <w:sz w:val="21"/>
        </w:rPr>
        <w:t>Utilisez Choisir typo pour sélectionner une police déjà présente dans asset/Typographie.</w:t>
      </w:r>
    </w:p>
    <w:p>
      <w:pPr>
        <w:pStyle w:val="ListBullet"/>
      </w:pPr>
      <w:r>
        <w:rPr>
          <w:rFonts w:ascii="Arial" w:hAnsi="Arial"/>
          <w:sz w:val="21"/>
        </w:rPr>
        <w:t>Utilisez Ajouter typo pour ouvrir la fenêtre liée à DaFont FR et intégrer une nouvelle police compatible.</w:t>
      </w:r>
    </w:p>
    <w:p>
      <w:pPr>
        <w:pStyle w:val="ListBullet"/>
      </w:pPr>
      <w:r>
        <w:rPr>
          <w:rFonts w:ascii="Arial" w:hAnsi="Arial"/>
          <w:sz w:val="21"/>
        </w:rPr>
        <w:t>La case Majuscule est activée par défaut.</w:t>
      </w:r>
    </w:p>
    <w:p>
      <w:pPr>
        <w:pStyle w:val="ListBullet"/>
      </w:pPr>
      <w:r>
        <w:rPr>
          <w:rFonts w:ascii="Arial" w:hAnsi="Arial"/>
          <w:sz w:val="21"/>
        </w:rPr>
        <w:t>L’ombre portée du logo peut être activée séparément.</w:t>
      </w:r>
    </w:p>
    <w:p>
      <w:r>
        <w:t>Bon à savoir :</w:t>
      </w:r>
    </w:p>
    <w:p>
      <w:pPr>
        <w:pStyle w:val="ListBullet"/>
        <w:ind w:left="340"/>
      </w:pPr>
      <w:r>
        <w:rPr>
          <w:rFonts w:ascii="Arial" w:hAnsi="Arial"/>
          <w:sz w:val="21"/>
        </w:rPr>
        <w:t>Le placement du logo texte a été corrigé pour mieux coller aux zones logo des gabarits et au preset Logo.</w:t>
      </w:r>
    </w:p>
    <w:p>
      <w:pPr>
        <w:pStyle w:val="ListBullet"/>
        <w:ind w:left="340"/>
      </w:pPr>
      <w:r>
        <w:rPr>
          <w:rFonts w:ascii="Arial" w:hAnsi="Arial"/>
          <w:sz w:val="21"/>
        </w:rPr>
        <w:t>La taille n’est plus exposée comme champ direct dans l’interface ; une valeur interne par défaut est conservée.</w:t>
      </w:r>
    </w:p>
    <w:p>
      <w:pPr>
        <w:pStyle w:val="ListBullet"/>
        <w:ind w:left="340"/>
      </w:pPr>
      <w:r>
        <w:rPr>
          <w:rFonts w:ascii="Arial" w:hAnsi="Arial"/>
          <w:sz w:val="21"/>
        </w:rPr>
        <w:t>Le rendu a été uniformisé entre la preview et l’export.</w:t>
      </w:r>
    </w:p>
    <w:p>
      <w:pPr>
        <w:pStyle w:val="Heading1"/>
      </w:pPr>
      <w:r>
        <w:t>7. Bandeau info, dégradé et ombre</w:t>
      </w:r>
    </w:p>
    <w:p>
      <w:r>
        <w:t>Trois options permettent d’enrichir rapidement un visuel sans repartir dans un logiciel externe.</w:t>
      </w:r>
    </w:p>
    <w:tbl>
      <w:tblPr>
        <w:tblStyle w:val="TableGrid"/>
        <w:tblW w:type="auto" w:w="0"/>
        <w:jc w:val="center"/>
        <w:tblLook w:firstColumn="1" w:firstRow="1" w:lastColumn="0" w:lastRow="0" w:noHBand="0" w:noVBand="1" w:val="04A0"/>
      </w:tblPr>
      <w:tblGrid>
        <w:gridCol w:w="5100"/>
        <w:gridCol w:w="5100"/>
      </w:tblGrid>
      <w:tr>
        <w:tc>
          <w:tcPr>
            <w:tcW w:type="dxa" w:w="5100"/>
            <w:shd w:fill="DCEBFF"/>
          </w:tcPr>
          <w:p>
            <w:r>
              <w:rPr>
                <w:b/>
              </w:rPr>
              <w:t>Option</w:t>
            </w:r>
          </w:p>
        </w:tc>
        <w:tc>
          <w:tcPr>
            <w:tcW w:type="dxa" w:w="5100"/>
            <w:shd w:fill="DCEBFF"/>
          </w:tcPr>
          <w:p>
            <w:r>
              <w:rPr>
                <w:b/>
              </w:rPr>
              <w:t>Usage</w:t>
            </w:r>
          </w:p>
        </w:tc>
      </w:tr>
      <w:tr>
        <w:tc>
          <w:tcPr>
            <w:tcW w:type="dxa" w:w="5100"/>
            <w:tcMar>
              <w:top w:w="90" w:type="dxa"/>
              <w:start w:w="90" w:type="dxa"/>
              <w:bottom w:w="90" w:type="dxa"/>
              <w:end w:w="90" w:type="dxa"/>
            </w:tcMar>
          </w:tcPr>
          <w:p>
            <w:r>
              <w:t>Bandeau info (POSTER)</w:t>
            </w:r>
          </w:p>
        </w:tc>
        <w:tc>
          <w:tcPr>
            <w:tcW w:type="dxa" w:w="5100"/>
            <w:tcMar>
              <w:top w:w="90" w:type="dxa"/>
              <w:start w:w="90" w:type="dxa"/>
              <w:bottom w:w="90" w:type="dxa"/>
              <w:end w:w="90" w:type="dxa"/>
            </w:tcMar>
          </w:tcPr>
          <w:p>
            <w:r>
              <w:t>Ajoute un bandeau texte sur le poster. Pratique pour un label, une information courte ou un thème.</w:t>
            </w:r>
          </w:p>
        </w:tc>
      </w:tr>
      <w:tr>
        <w:tc>
          <w:tcPr>
            <w:tcW w:type="dxa" w:w="5100"/>
            <w:tcMar>
              <w:top w:w="90" w:type="dxa"/>
              <w:start w:w="90" w:type="dxa"/>
              <w:bottom w:w="90" w:type="dxa"/>
              <w:end w:w="90" w:type="dxa"/>
            </w:tcMar>
          </w:tcPr>
          <w:p>
            <w:r>
              <w:t>Dégradé</w:t>
            </w:r>
          </w:p>
        </w:tc>
        <w:tc>
          <w:tcPr>
            <w:tcW w:type="dxa" w:w="5100"/>
            <w:tcMar>
              <w:top w:w="90" w:type="dxa"/>
              <w:start w:w="90" w:type="dxa"/>
              <w:bottom w:w="90" w:type="dxa"/>
              <w:end w:w="90" w:type="dxa"/>
            </w:tcMar>
          </w:tcPr>
          <w:p>
            <w:r>
              <w:t>Ajoute un dégradé visuel au rendu pour donner plus de profondeur à l’image.</w:t>
            </w:r>
          </w:p>
        </w:tc>
      </w:tr>
      <w:tr>
        <w:tc>
          <w:tcPr>
            <w:tcW w:type="dxa" w:w="5100"/>
            <w:tcMar>
              <w:top w:w="90" w:type="dxa"/>
              <w:start w:w="90" w:type="dxa"/>
              <w:bottom w:w="90" w:type="dxa"/>
              <w:end w:w="90" w:type="dxa"/>
            </w:tcMar>
          </w:tcPr>
          <w:p>
            <w:r>
              <w:t>Ombre logo</w:t>
            </w:r>
          </w:p>
        </w:tc>
        <w:tc>
          <w:tcPr>
            <w:tcW w:type="dxa" w:w="5100"/>
            <w:tcMar>
              <w:top w:w="90" w:type="dxa"/>
              <w:start w:w="90" w:type="dxa"/>
              <w:bottom w:w="90" w:type="dxa"/>
              <w:end w:w="90" w:type="dxa"/>
            </w:tcMar>
          </w:tcPr>
          <w:p>
            <w:r>
              <w:t>Améliore la lisibilité du logo texte ou du logo sur des fonds chargés.</w:t>
            </w:r>
          </w:p>
        </w:tc>
      </w:tr>
    </w:tbl>
    <w:p>
      <w:pPr>
        <w:pStyle w:val="Heading1"/>
      </w:pPr>
      <w:r>
        <w:t>8. TOP 1 à TOP 5</w:t>
      </w:r>
    </w:p>
    <w:p>
      <w:r>
        <w:t>Le mode TOP sert à produire des variantes cadrées au format TOP directement depuis ARPlus.</w:t>
      </w:r>
    </w:p>
    <w:p>
      <w:pPr>
        <w:jc w:val="center"/>
      </w:pPr>
      <w:r>
        <w:drawing>
          <wp:inline xmlns:a="http://schemas.openxmlformats.org/drawingml/2006/main" xmlns:pic="http://schemas.openxmlformats.org/drawingml/2006/picture">
            <wp:extent cx="6120000" cy="3672000"/>
            <wp:docPr id="3" name="Picture 3"/>
            <wp:cNvGraphicFramePr>
              <a:graphicFrameLocks noChangeAspect="1"/>
            </wp:cNvGraphicFramePr>
            <a:graphic>
              <a:graphicData uri="http://schemas.openxmlformats.org/drawingml/2006/picture">
                <pic:pic>
                  <pic:nvPicPr>
                    <pic:cNvPr id="0" name="schema_top.png"/>
                    <pic:cNvPicPr/>
                  </pic:nvPicPr>
                  <pic:blipFill>
                    <a:blip r:embed="rId11"/>
                    <a:stretch>
                      <a:fillRect/>
                    </a:stretch>
                  </pic:blipFill>
                  <pic:spPr>
                    <a:xfrm>
                      <a:off x="0" y="0"/>
                      <a:ext cx="6120000" cy="3672000"/>
                    </a:xfrm>
                    <a:prstGeom prst="rect"/>
                  </pic:spPr>
                </pic:pic>
              </a:graphicData>
            </a:graphic>
          </wp:inline>
        </w:drawing>
      </w:r>
    </w:p>
    <w:p>
      <w:pPr>
        <w:jc w:val="center"/>
      </w:pPr>
      <w:r>
        <w:rPr>
          <w:i/>
          <w:color w:val="64748B"/>
          <w:sz w:val="18"/>
        </w:rPr>
        <w:t>Schéma du mode TOP</w:t>
      </w:r>
    </w:p>
    <w:p>
      <w:r>
        <w:t>Fonctionnement conseillé :</w:t>
      </w:r>
    </w:p>
    <w:p>
      <w:pPr>
        <w:pStyle w:val="ListBullet"/>
      </w:pPr>
      <w:r>
        <w:rPr>
          <w:rFonts w:ascii="Arial" w:hAnsi="Arial"/>
          <w:sz w:val="21"/>
        </w:rPr>
        <w:t>Validez d’abord le poster principal.</w:t>
      </w:r>
    </w:p>
    <w:p>
      <w:pPr>
        <w:pStyle w:val="ListBullet"/>
      </w:pPr>
      <w:r>
        <w:rPr>
          <w:rFonts w:ascii="Arial" w:hAnsi="Arial"/>
          <w:sz w:val="21"/>
        </w:rPr>
        <w:t>Passez ensuite sur TOP 1 à TOP 5.</w:t>
      </w:r>
    </w:p>
    <w:p>
      <w:pPr>
        <w:pStyle w:val="ListBullet"/>
      </w:pPr>
      <w:r>
        <w:rPr>
          <w:rFonts w:ascii="Arial" w:hAnsi="Arial"/>
          <w:sz w:val="21"/>
        </w:rPr>
        <w:t>Ajustez l’image avec Offset X, Offset Y, Zoom, Stretch X et Stretch Y.</w:t>
      </w:r>
    </w:p>
    <w:p>
      <w:pPr>
        <w:pStyle w:val="ListBullet"/>
      </w:pPr>
      <w:r>
        <w:rPr>
          <w:rFonts w:ascii="Arial" w:hAnsi="Arial"/>
          <w:sz w:val="21"/>
        </w:rPr>
        <w:t>Activez Appliquer à tous les TOP si les mêmes réglages doivent être répliqués.</w:t>
      </w:r>
    </w:p>
    <w:p>
      <w:pPr>
        <w:pStyle w:val="ListBullet"/>
      </w:pPr>
      <w:r>
        <w:rPr>
          <w:rFonts w:ascii="Arial" w:hAnsi="Arial"/>
          <w:sz w:val="21"/>
        </w:rPr>
        <w:t>Exportez les TOP seulement quand le cadrage est correct dans chaque onglet.</w:t>
      </w:r>
    </w:p>
    <w:p>
      <w:r>
        <w:t>Le changelog précise que les TOP sont intégrés nativement dans ARPlus, avec preview dédiée et nommage d’export de type « TOP X - Nom - date.jpg ».</w:t>
      </w:r>
    </w:p>
    <w:p>
      <w:pPr>
        <w:pStyle w:val="Heading1"/>
      </w:pPr>
      <w:r>
        <w:t>9. Sauvegarde, import projet et export final</w:t>
      </w:r>
    </w:p>
    <w:p>
      <w:pPr>
        <w:pStyle w:val="ListBullet"/>
      </w:pPr>
      <w:r>
        <w:rPr>
          <w:rFonts w:ascii="Arial" w:hAnsi="Arial"/>
          <w:sz w:val="21"/>
        </w:rPr>
        <w:t>Dossier d’export : choisissez un emplacement clair avant l’export.</w:t>
      </w:r>
    </w:p>
    <w:p>
      <w:pPr>
        <w:pStyle w:val="ListBullet"/>
      </w:pPr>
      <w:r>
        <w:rPr>
          <w:rFonts w:ascii="Arial" w:hAnsi="Arial"/>
          <w:sz w:val="21"/>
        </w:rPr>
        <w:t>Nom du projet : renseignez un nom propre pour obtenir des fichiers bien nommés.</w:t>
      </w:r>
    </w:p>
    <w:p>
      <w:pPr>
        <w:pStyle w:val="ListBullet"/>
      </w:pPr>
      <w:r>
        <w:rPr>
          <w:rFonts w:ascii="Arial" w:hAnsi="Arial"/>
          <w:sz w:val="21"/>
        </w:rPr>
        <w:t>Sauvegarde projet… : enregistre un état de travail au format .arplus.json.</w:t>
      </w:r>
    </w:p>
    <w:p>
      <w:pPr>
        <w:pStyle w:val="ListBullet"/>
      </w:pPr>
      <w:r>
        <w:rPr>
          <w:rFonts w:ascii="Arial" w:hAnsi="Arial"/>
          <w:sz w:val="21"/>
        </w:rPr>
        <w:t>Importer projet… : recharge un projet déjà enregistré.</w:t>
      </w:r>
    </w:p>
    <w:p>
      <w:pPr>
        <w:pStyle w:val="ListBullet"/>
      </w:pPr>
      <w:r>
        <w:rPr>
          <w:rFonts w:ascii="Arial" w:hAnsi="Arial"/>
          <w:sz w:val="21"/>
        </w:rPr>
        <w:t>Nouveau projet : vide le travail en cours ; pensez à sauvegarder d’abord.</w:t>
      </w:r>
    </w:p>
    <w:p>
      <w:pPr>
        <w:pStyle w:val="ListBullet"/>
      </w:pPr>
      <w:r>
        <w:rPr>
          <w:rFonts w:ascii="Arial" w:hAnsi="Arial"/>
          <w:sz w:val="21"/>
        </w:rPr>
        <w:t>Des mémorisations de derniers dossiers et des autosaves de sécurité sont mentionnés dans le changelog.</w:t>
      </w:r>
    </w:p>
    <w:p>
      <w:r>
        <w:t>Avant un export final, vérifiez :</w:t>
      </w:r>
    </w:p>
    <w:p>
      <w:pPr>
        <w:pStyle w:val="ListBullet"/>
        <w:ind w:left="340"/>
      </w:pPr>
      <w:r>
        <w:rPr>
          <w:rFonts w:ascii="Arial" w:hAnsi="Arial"/>
          <w:sz w:val="21"/>
        </w:rPr>
        <w:t>les presets cochés</w:t>
      </w:r>
    </w:p>
    <w:p>
      <w:pPr>
        <w:pStyle w:val="ListBullet"/>
        <w:ind w:left="340"/>
      </w:pPr>
      <w:r>
        <w:rPr>
          <w:rFonts w:ascii="Arial" w:hAnsi="Arial"/>
          <w:sz w:val="21"/>
        </w:rPr>
        <w:t>le dossier d’export</w:t>
      </w:r>
    </w:p>
    <w:p>
      <w:pPr>
        <w:pStyle w:val="ListBullet"/>
        <w:ind w:left="340"/>
      </w:pPr>
      <w:r>
        <w:rPr>
          <w:rFonts w:ascii="Arial" w:hAnsi="Arial"/>
          <w:sz w:val="21"/>
        </w:rPr>
        <w:t>le nom du projet</w:t>
      </w:r>
    </w:p>
    <w:p>
      <w:pPr>
        <w:pStyle w:val="ListBullet"/>
        <w:ind w:left="340"/>
      </w:pPr>
      <w:r>
        <w:rPr>
          <w:rFonts w:ascii="Arial" w:hAnsi="Arial"/>
          <w:sz w:val="21"/>
        </w:rPr>
        <w:t>la présence ou non du logo selon chaque sortie</w:t>
      </w:r>
    </w:p>
    <w:p>
      <w:pPr>
        <w:pStyle w:val="ListBullet"/>
        <w:ind w:left="340"/>
      </w:pPr>
      <w:r>
        <w:rPr>
          <w:rFonts w:ascii="Arial" w:hAnsi="Arial"/>
          <w:sz w:val="21"/>
        </w:rPr>
        <w:t>la cohérence du poster et des TOP</w:t>
      </w:r>
    </w:p>
    <w:p>
      <w:pPr>
        <w:pStyle w:val="Heading1"/>
      </w:pPr>
      <w:r>
        <w:t>10. Checklist express avant livraison</w:t>
      </w:r>
    </w:p>
    <w:p>
      <w:pPr>
        <w:pStyle w:val="ListBullet"/>
      </w:pPr>
      <w:r>
        <w:rPr>
          <w:rFonts w:ascii="Arial" w:hAnsi="Arial"/>
          <w:sz w:val="21"/>
        </w:rPr>
        <w:t>☐ Fond bien cadré.</w:t>
      </w:r>
    </w:p>
    <w:p>
      <w:pPr>
        <w:pStyle w:val="ListBullet"/>
      </w:pPr>
      <w:r>
        <w:rPr>
          <w:rFonts w:ascii="Arial" w:hAnsi="Arial"/>
          <w:sz w:val="21"/>
        </w:rPr>
        <w:t>☐ Personnages lisibles, bien positionnés et non coupés.</w:t>
      </w:r>
    </w:p>
    <w:p>
      <w:pPr>
        <w:pStyle w:val="ListBullet"/>
      </w:pPr>
      <w:r>
        <w:rPr>
          <w:rFonts w:ascii="Arial" w:hAnsi="Arial"/>
          <w:sz w:val="21"/>
        </w:rPr>
        <w:t>☐ Logo net et bien placé.</w:t>
      </w:r>
    </w:p>
    <w:p>
      <w:pPr>
        <w:pStyle w:val="ListBullet"/>
      </w:pPr>
      <w:r>
        <w:rPr>
          <w:rFonts w:ascii="Arial" w:hAnsi="Arial"/>
          <w:sz w:val="21"/>
        </w:rPr>
        <w:t>☐ Logo texte relu et bonne typo sélectionnée.</w:t>
      </w:r>
    </w:p>
    <w:p>
      <w:pPr>
        <w:pStyle w:val="ListBullet"/>
      </w:pPr>
      <w:r>
        <w:rPr>
          <w:rFonts w:ascii="Arial" w:hAnsi="Arial"/>
          <w:sz w:val="21"/>
        </w:rPr>
        <w:t>☐ Bandeau info correct si activé.</w:t>
      </w:r>
    </w:p>
    <w:p>
      <w:pPr>
        <w:pStyle w:val="ListBullet"/>
      </w:pPr>
      <w:r>
        <w:rPr>
          <w:rFonts w:ascii="Arial" w:hAnsi="Arial"/>
          <w:sz w:val="21"/>
        </w:rPr>
        <w:t>☐ Dégradé et ombre non excessifs.</w:t>
      </w:r>
    </w:p>
    <w:p>
      <w:pPr>
        <w:pStyle w:val="ListBullet"/>
      </w:pPr>
      <w:r>
        <w:rPr>
          <w:rFonts w:ascii="Arial" w:hAnsi="Arial"/>
          <w:sz w:val="21"/>
        </w:rPr>
        <w:t>☐ TOP 1 à TOP 5 vérifiés si demandés.</w:t>
      </w:r>
    </w:p>
    <w:p>
      <w:pPr>
        <w:pStyle w:val="ListBullet"/>
      </w:pPr>
      <w:r>
        <w:rPr>
          <w:rFonts w:ascii="Arial" w:hAnsi="Arial"/>
          <w:sz w:val="21"/>
        </w:rPr>
        <w:t>☐ Exports cochés correctement.</w:t>
      </w:r>
    </w:p>
    <w:p>
      <w:pPr>
        <w:pStyle w:val="ListBullet"/>
      </w:pPr>
      <w:r>
        <w:rPr>
          <w:rFonts w:ascii="Arial" w:hAnsi="Arial"/>
          <w:sz w:val="21"/>
        </w:rPr>
        <w:t>☐ Projet sauvegardé avant l’export final.</w:t>
      </w:r>
    </w:p>
    <w:p>
      <w:pPr>
        <w:pStyle w:val="Heading1"/>
      </w:pPr>
      <w:r>
        <w:t>11. Remarques utiles</w:t>
      </w:r>
    </w:p>
    <w:p>
      <w:r>
        <w:t>Les fichiers fournis décrivent clairement les fonctions principales et les panneaux de l’interface. En revanche, le script ARPlus.py contient encore des marqueurs de conflit Git, ce qui empêche une capture d’écran réelle et fiable de l’application dans son état actuel. Les schémas inclus dans ce guide servent donc de repères visuels de substitution pour la prise en main.</w:t>
      </w: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8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