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627B" w14:textId="5C2C4998" w:rsidR="00B04D1E" w:rsidRDefault="00B04D1E" w:rsidP="00B04D1E">
      <w:pPr>
        <w:pStyle w:val="2"/>
        <w:spacing w:line="460" w:lineRule="exact"/>
        <w:ind w:left="0" w:firstLine="0"/>
        <w:rPr>
          <w:rFonts w:ascii="宋体" w:hAnsi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bookmarkStart w:id="3" w:name="_Hlk90409325"/>
      <w:r>
        <w:rPr>
          <w:rFonts w:ascii="宋体" w:hAnsi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/>
          <w:b w:val="0"/>
          <w:bCs w:val="0"/>
          <w:sz w:val="28"/>
          <w:szCs w:val="28"/>
        </w:rPr>
        <w:t>5</w:t>
      </w:r>
      <w:r>
        <w:rPr>
          <w:rFonts w:ascii="宋体" w:hAnsi="宋体" w:hint="eastAsia"/>
          <w:b w:val="0"/>
          <w:bCs w:val="0"/>
          <w:sz w:val="28"/>
          <w:szCs w:val="28"/>
        </w:rPr>
        <w:t>.模块</w:t>
      </w:r>
      <w:bookmarkEnd w:id="0"/>
      <w:bookmarkEnd w:id="1"/>
      <w:r w:rsidR="001218B0">
        <w:rPr>
          <w:rFonts w:ascii="宋体" w:hAnsi="宋体" w:hint="eastAsia"/>
          <w:b w:val="0"/>
          <w:bCs w:val="0"/>
          <w:sz w:val="28"/>
          <w:szCs w:val="28"/>
        </w:rPr>
        <w:t>五</w:t>
      </w:r>
    </w:p>
    <w:p w14:paraId="243EF1B3" w14:textId="4CEC2CF1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" w:name="_Toc9268"/>
      <w:bookmarkStart w:id="5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  <w:bookmarkEnd w:id="4"/>
    </w:p>
    <w:p w14:paraId="1DCB1621" w14:textId="77777777" w:rsidR="00B04D1E" w:rsidRDefault="00B04D1E" w:rsidP="00B04D1E">
      <w:pPr>
        <w:pStyle w:val="a4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人物控制逻辑设计</w:t>
      </w:r>
    </w:p>
    <w:p w14:paraId="131CA903" w14:textId="12719C98" w:rsidR="00B04D1E" w:rsidRDefault="00B04D1E" w:rsidP="00B04D1E">
      <w:pPr>
        <w:pStyle w:val="a4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编号3.</w:t>
      </w:r>
      <w:r w:rsidR="001218B0">
        <w:rPr>
          <w:rFonts w:ascii="宋体" w:hAnsi="宋体" w:cs="宋体"/>
        </w:rPr>
        <w:t>5</w:t>
      </w:r>
    </w:p>
    <w:p w14:paraId="4D8C9455" w14:textId="58404091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6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  <w:bookmarkEnd w:id="2"/>
      <w:bookmarkEnd w:id="5"/>
      <w:bookmarkEnd w:id="6"/>
    </w:p>
    <w:p w14:paraId="25235C3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本模块主要负责玩家互动模式设计，使玩家可以操控场景内的3D模型进行移动，攻击等动作。此模块所需要的数据部分由游戏主体系统即时生成，部分由后端服务系统提供。</w:t>
      </w:r>
    </w:p>
    <w:p w14:paraId="393B5A4C" w14:textId="77BCE6E5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7" w:name="_Toc23206"/>
      <w:bookmarkStart w:id="8" w:name="_Toc266729591"/>
      <w:bookmarkStart w:id="9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A33FCD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.输入信息</w:t>
      </w:r>
      <w:bookmarkEnd w:id="7"/>
      <w:bookmarkEnd w:id="8"/>
      <w:bookmarkEnd w:id="9"/>
    </w:p>
    <w:p w14:paraId="3503E8DB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B04D1E" w14:paraId="4AAC1D16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EBD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0E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2F1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E7F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809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76FDAA85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4F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A87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W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FE2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前进键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BE6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B9D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489A0A7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B7B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A3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EBB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后退键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F36E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6BF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0920692D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52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EF2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左移键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E43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324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A6D60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957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30A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4D8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右移键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621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315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1A818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B0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811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LClick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7EE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攻击键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A0E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020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  <w:tr w:rsidR="00B04D1E" w14:paraId="01B9825E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7C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CD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RClick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5EF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7C4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995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</w:tbl>
    <w:p w14:paraId="44CB141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</w:p>
    <w:p w14:paraId="3DCF4659" w14:textId="13E6FDA6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0" w:name="_Toc51579962"/>
      <w:bookmarkStart w:id="11" w:name="_Toc266729592"/>
      <w:bookmarkStart w:id="12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A33FCD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.输出信息</w:t>
      </w:r>
      <w:bookmarkEnd w:id="10"/>
      <w:bookmarkEnd w:id="11"/>
      <w:bookmarkEnd w:id="12"/>
    </w:p>
    <w:p w14:paraId="53CA9C7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B04D1E" w14:paraId="68D0B0E4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B2A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B5F0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7DC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CB2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6E05C71C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F7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11A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导弹计时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22A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A16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2A72EDAF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85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E20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人物死亡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61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592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5156937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151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B86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人物状态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0A1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7A9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</w:tr>
    </w:tbl>
    <w:p w14:paraId="0164A33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</w:p>
    <w:p w14:paraId="0CD70E90" w14:textId="79A8E0BA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3" w:name="_Toc266729593"/>
      <w:bookmarkStart w:id="14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A33FCD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.算法</w:t>
      </w:r>
      <w:bookmarkEnd w:id="13"/>
      <w:bookmarkEnd w:id="14"/>
    </w:p>
    <w:p w14:paraId="3156750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本模块使用C#中UnityEngine Namespace中的Input类实现对玩家键盘，鼠标操作的读取工作，其中具体应用到的方法有：</w:t>
      </w:r>
    </w:p>
    <w:p w14:paraId="5CD4037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（1）键盘的输入</w:t>
      </w:r>
    </w:p>
    <w:p w14:paraId="4C95C8BB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29427DA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Input•GetKey，Input.GetKeyDown，Input.GetKeyUp三个方法分别获取用户键盘按键的输入</w:t>
      </w:r>
    </w:p>
    <w:p w14:paraId="76DB7A0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CE67E1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GetKey:用户长按按键有效；</w:t>
      </w:r>
    </w:p>
    <w:p w14:paraId="1180473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0139FE4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GetKeyDown：用户按下按键时有效；</w:t>
      </w:r>
    </w:p>
    <w:p w14:paraId="28DC9AB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228762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GetKeyUp：用户抬起按键时有效；</w:t>
      </w:r>
    </w:p>
    <w:p w14:paraId="5548F44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6ACFCB3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lastRenderedPageBreak/>
        <w:t xml:space="preserve"> Input.anyKey，Input.anyKeyDown</w:t>
      </w:r>
    </w:p>
    <w:p w14:paraId="40B35AAA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BA9FE6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anyKey用于监听用户的任意按键输入或鼠标点击，事件触发后返回true。anyKeyDown：当任意按键松开时返回true。</w:t>
      </w:r>
    </w:p>
    <w:p w14:paraId="03919CA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0434318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Input.GetButton(string buttonName)</w:t>
      </w:r>
    </w:p>
    <w:p w14:paraId="615BCC1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19B2AC30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GetButton用于监听Button的输入，参数为自己指定的button的名字，在Unity中可以使用管理器添加或修改Input参数。</w:t>
      </w:r>
    </w:p>
    <w:p w14:paraId="768468A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0AED55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Input.GetButtonDown（ 当某个按钮被按下的那一帧返回true）</w:t>
      </w:r>
    </w:p>
    <w:p w14:paraId="5E3C016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F0F14E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Input.GetButtonUp（ 当某个按钮弹起时返回true）</w:t>
      </w:r>
    </w:p>
    <w:p w14:paraId="40A2A4A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A92C134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（2）鼠标的输入</w:t>
      </w:r>
    </w:p>
    <w:p w14:paraId="2B0AC660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7692C9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Input.•mousePosition</w:t>
      </w:r>
    </w:p>
    <w:p w14:paraId="78E05CEA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25988D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Input.mousePosition返回当前鼠标的位置，这里指的是距离原点的像素位置，说明一下，Unity中的原点（0，0）位置为左下角，上位y轴正方向，右为x轴正方向。返回值类型为Vector3。</w:t>
      </w:r>
    </w:p>
    <w:p w14:paraId="4FE2DE6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4D7A971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Input.•GetMouseButton</w:t>
      </w:r>
    </w:p>
    <w:p w14:paraId="730240D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87F486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GetMouseButton 对应的键处于按下状态时返回true</w:t>
      </w:r>
    </w:p>
    <w:p w14:paraId="0608B93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17B7004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GetMouseButtonDown 对应的键被按下时返回true</w:t>
      </w:r>
    </w:p>
    <w:p w14:paraId="6292503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221C8FE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GetMouseButtonUp 对应的键弹起时返回true</w:t>
      </w:r>
    </w:p>
    <w:p w14:paraId="3CC92154" w14:textId="5D5D3D5E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5" w:name="_Toc8768"/>
      <w:bookmarkStart w:id="16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A33FCD">
        <w:rPr>
          <w:rFonts w:ascii="宋体" w:hAnsi="宋体" w:cs="宋体"/>
          <w:b w:val="0"/>
          <w:bCs w:val="0"/>
          <w:sz w:val="28"/>
          <w:szCs w:val="28"/>
        </w:rPr>
        <w:t>6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.处理流程</w:t>
      </w:r>
      <w:bookmarkEnd w:id="15"/>
      <w:bookmarkEnd w:id="16"/>
    </w:p>
    <w:p w14:paraId="0B1064E4" w14:textId="77777777" w:rsidR="00B04D1E" w:rsidRDefault="00B04D1E" w:rsidP="00B04D1E">
      <w:r>
        <w:tab/>
        <w:t xml:space="preserve">  </w:t>
      </w:r>
      <w:r>
        <w:rPr>
          <w:rFonts w:hint="eastAsia"/>
        </w:rPr>
        <w:t>本模块包含</w:t>
      </w:r>
      <w:r>
        <w:t>6</w:t>
      </w:r>
      <w:r>
        <w:rPr>
          <w:rFonts w:hint="eastAsia"/>
        </w:rPr>
        <w:t>个内置类，分别为</w:t>
      </w:r>
      <w:r>
        <w:t>PlayerSkill</w:t>
      </w:r>
      <w:r>
        <w:rPr>
          <w:rFonts w:hint="eastAsia"/>
        </w:rPr>
        <w:t>，</w:t>
      </w:r>
      <w:r>
        <w:t>PlayerShooting</w:t>
      </w:r>
      <w:r>
        <w:rPr>
          <w:rFonts w:hint="eastAsia"/>
        </w:rPr>
        <w:t>，</w:t>
      </w:r>
      <w:r>
        <w:t>PlayerMovement</w:t>
      </w:r>
      <w:r>
        <w:rPr>
          <w:rFonts w:hint="eastAsia"/>
        </w:rPr>
        <w:t>，</w:t>
      </w:r>
      <w:r>
        <w:t>PlayerInput</w:t>
      </w:r>
      <w:r>
        <w:rPr>
          <w:rFonts w:hint="eastAsia"/>
        </w:rPr>
        <w:t>，</w:t>
      </w:r>
      <w:r>
        <w:t>PlayerHealth</w:t>
      </w:r>
      <w:r>
        <w:rPr>
          <w:rFonts w:hint="eastAsia"/>
        </w:rPr>
        <w:t>，</w:t>
      </w:r>
      <w:r>
        <w:t>OtherPlayerControl</w:t>
      </w:r>
      <w:r>
        <w:rPr>
          <w:rFonts w:hint="eastAsia"/>
        </w:rPr>
        <w:t>，都继承</w:t>
      </w:r>
      <w:r>
        <w:t>UnityEngine namespace</w:t>
      </w:r>
      <w:r>
        <w:rPr>
          <w:rFonts w:hint="eastAsia"/>
        </w:rPr>
        <w:t>内置脚本</w:t>
      </w:r>
      <w:r>
        <w:t>MonoBehavior</w:t>
      </w:r>
      <w:r>
        <w:rPr>
          <w:rFonts w:hint="eastAsia"/>
        </w:rPr>
        <w:t>，其中</w:t>
      </w:r>
      <w:r>
        <w:t>PlayerInput</w:t>
      </w:r>
      <w:r>
        <w:rPr>
          <w:rFonts w:hint="eastAsia"/>
        </w:rPr>
        <w:t>类关联</w:t>
      </w:r>
      <w:r>
        <w:t>PlayerMovement</w:t>
      </w:r>
      <w:r>
        <w:rPr>
          <w:rFonts w:hint="eastAsia"/>
        </w:rPr>
        <w:t>，</w:t>
      </w:r>
      <w:r>
        <w:t>PlayerMovement</w:t>
      </w:r>
      <w:r>
        <w:rPr>
          <w:rFonts w:hint="eastAsia"/>
        </w:rPr>
        <w:t>基于</w:t>
      </w:r>
      <w:r>
        <w:t>PlayerInput</w:t>
      </w:r>
      <w:r>
        <w:rPr>
          <w:rFonts w:hint="eastAsia"/>
        </w:rPr>
        <w:t>类检测的玩家输入改变玩家的状态，给予玩家攻击动作，</w:t>
      </w:r>
      <w:r>
        <w:t>Playerhealth</w:t>
      </w:r>
      <w:r>
        <w:rPr>
          <w:rFonts w:hint="eastAsia"/>
        </w:rPr>
        <w:t>类控制玩家是否结束游戏，不同状态下的动作。</w:t>
      </w:r>
      <w:r>
        <w:t>Playshooting</w:t>
      </w:r>
      <w:r>
        <w:rPr>
          <w:rFonts w:hint="eastAsia"/>
        </w:rPr>
        <w:t>基于</w:t>
      </w:r>
      <w:r>
        <w:t>PlayerInput</w:t>
      </w:r>
      <w:r>
        <w:rPr>
          <w:rFonts w:hint="eastAsia"/>
        </w:rPr>
        <w:t>的读取，控制玩家的攻击动作，</w:t>
      </w:r>
      <w:r>
        <w:t>OtherPlayerControl</w:t>
      </w:r>
      <w:r>
        <w:rPr>
          <w:rFonts w:hint="eastAsia"/>
        </w:rPr>
        <w:t>主要控制玩家的其他操作，如陷阱，导弹冷却等。</w:t>
      </w:r>
    </w:p>
    <w:p w14:paraId="0EFB3C59" w14:textId="1C70FF8A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7" w:name="_Toc266729595"/>
      <w:bookmarkStart w:id="18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1218B0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A33FCD">
        <w:rPr>
          <w:rFonts w:ascii="宋体" w:hAnsi="宋体" w:cs="宋体"/>
          <w:b w:val="0"/>
          <w:bCs w:val="0"/>
          <w:sz w:val="28"/>
          <w:szCs w:val="28"/>
        </w:rPr>
        <w:t>7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.类设计</w:t>
      </w:r>
      <w:bookmarkEnd w:id="17"/>
      <w:bookmarkEnd w:id="18"/>
    </w:p>
    <w:p w14:paraId="5746DAA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给出本模块的类设计，包括类图和类说明</w:t>
      </w:r>
    </w:p>
    <w:p w14:paraId="54400F7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对于J2EE应用，可以分控制类（例如用到的Servlet）、实体类（例如DAO）、业务类（例如处理业务的Handler）、视图类（例如JSP）、接口类（例如供别的模块调用的API）、工具类（例如对字符串进行处理的StringUtil）进行描述。JSP可以放在视图类中进行描述，描述包括使用到的重要的JavaScript。</w:t>
      </w:r>
    </w:p>
    <w:p w14:paraId="389E224C" w14:textId="6E96EFF8" w:rsidR="00B04D1E" w:rsidRDefault="00B04D1E" w:rsidP="00B04D1E">
      <w:pPr>
        <w:pStyle w:val="4"/>
        <w:spacing w:before="340" w:after="340" w:line="460" w:lineRule="exact"/>
        <w:rPr>
          <w:rFonts w:ascii="宋体" w:hAnsi="宋体"/>
          <w:b w:val="0"/>
          <w:bCs w:val="0"/>
          <w:sz w:val="24"/>
          <w:szCs w:val="24"/>
        </w:rPr>
      </w:pPr>
      <w:bookmarkStart w:id="19" w:name="_Toc263766116"/>
      <w:r>
        <w:rPr>
          <w:rFonts w:ascii="宋体" w:hAnsi="宋体" w:hint="eastAsia"/>
          <w:b w:val="0"/>
          <w:bCs w:val="0"/>
          <w:sz w:val="24"/>
          <w:szCs w:val="24"/>
        </w:rPr>
        <w:lastRenderedPageBreak/>
        <w:t>3.1.</w:t>
      </w:r>
      <w:r w:rsidR="00A33FCD">
        <w:rPr>
          <w:rFonts w:ascii="宋体" w:hAnsi="宋体"/>
          <w:b w:val="0"/>
          <w:bCs w:val="0"/>
          <w:sz w:val="24"/>
          <w:szCs w:val="24"/>
        </w:rPr>
        <w:t>7</w:t>
      </w:r>
      <w:r>
        <w:rPr>
          <w:rFonts w:ascii="宋体" w:hAnsi="宋体" w:hint="eastAsia"/>
          <w:b w:val="0"/>
          <w:bCs w:val="0"/>
          <w:sz w:val="24"/>
          <w:szCs w:val="24"/>
        </w:rPr>
        <w:t>.1.类图</w:t>
      </w:r>
      <w:bookmarkEnd w:id="19"/>
    </w:p>
    <w:p w14:paraId="1FE232D3" w14:textId="2679E931" w:rsidR="00476D9B" w:rsidRPr="00C02E0A" w:rsidRDefault="00B04D1E" w:rsidP="00C02E0A">
      <w:pPr>
        <w:pStyle w:val="a3"/>
        <w:spacing w:beforeLines="50" w:before="156"/>
        <w:ind w:firstLine="0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 wp14:anchorId="06A403BF" wp14:editId="4E35946A">
            <wp:extent cx="5274310" cy="3820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476D9B" w:rsidRPr="00C0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DAF6" w14:textId="77777777" w:rsidR="00092F6D" w:rsidRDefault="00092F6D" w:rsidP="001218B0">
      <w:pPr>
        <w:spacing w:line="240" w:lineRule="auto"/>
      </w:pPr>
      <w:r>
        <w:separator/>
      </w:r>
    </w:p>
  </w:endnote>
  <w:endnote w:type="continuationSeparator" w:id="0">
    <w:p w14:paraId="509D2473" w14:textId="77777777" w:rsidR="00092F6D" w:rsidRDefault="00092F6D" w:rsidP="00121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25AB" w14:textId="77777777" w:rsidR="00092F6D" w:rsidRDefault="00092F6D" w:rsidP="001218B0">
      <w:pPr>
        <w:spacing w:line="240" w:lineRule="auto"/>
      </w:pPr>
      <w:r>
        <w:separator/>
      </w:r>
    </w:p>
  </w:footnote>
  <w:footnote w:type="continuationSeparator" w:id="0">
    <w:p w14:paraId="0E2D1FEA" w14:textId="77777777" w:rsidR="00092F6D" w:rsidRDefault="00092F6D" w:rsidP="00121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9"/>
    <w:rsid w:val="00092F6D"/>
    <w:rsid w:val="001218B0"/>
    <w:rsid w:val="00986BC3"/>
    <w:rsid w:val="009A212E"/>
    <w:rsid w:val="00A33FCD"/>
    <w:rsid w:val="00A61EA7"/>
    <w:rsid w:val="00B04D1E"/>
    <w:rsid w:val="00C02E0A"/>
    <w:rsid w:val="00C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5C33B"/>
  <w15:chartTrackingRefBased/>
  <w15:docId w15:val="{BB81B9B2-36CD-4D1C-8AEE-72B66AD7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1E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B04D1E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04D1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04D1E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B04D1E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B04D1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B04D1E"/>
    <w:rPr>
      <w:rFonts w:ascii="Cambria" w:eastAsia="宋体" w:hAnsi="Cambria" w:cs="宋体"/>
      <w:b/>
      <w:bCs/>
      <w:sz w:val="28"/>
      <w:szCs w:val="28"/>
    </w:rPr>
  </w:style>
  <w:style w:type="paragraph" w:styleId="a3">
    <w:name w:val="Normal Indent"/>
    <w:basedOn w:val="a"/>
    <w:unhideWhenUsed/>
    <w:rsid w:val="00B04D1E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customStyle="1" w:styleId="a4">
    <w:name w:val="段"/>
    <w:basedOn w:val="a"/>
    <w:qFormat/>
    <w:rsid w:val="00B04D1E"/>
    <w:pPr>
      <w:ind w:left="0" w:firstLineChars="200" w:firstLine="200"/>
    </w:pPr>
  </w:style>
  <w:style w:type="paragraph" w:styleId="a5">
    <w:name w:val="header"/>
    <w:basedOn w:val="a"/>
    <w:link w:val="a6"/>
    <w:uiPriority w:val="99"/>
    <w:unhideWhenUsed/>
    <w:rsid w:val="00121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18B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18B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18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魏 可名</cp:lastModifiedBy>
  <cp:revision>6</cp:revision>
  <dcterms:created xsi:type="dcterms:W3CDTF">2021-12-15T04:08:00Z</dcterms:created>
  <dcterms:modified xsi:type="dcterms:W3CDTF">2021-12-16T11:05:00Z</dcterms:modified>
</cp:coreProperties>
</file>