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封面页"/>
    <w:p>
      <w:pPr>
        <w:pStyle w:val="Heading1"/>
      </w:pPr>
      <w:r>
        <w:rPr>
          <w:rFonts w:hint="eastAsia"/>
        </w:rPr>
        <w:t xml:space="preserve">封面页</w:t>
      </w:r>
    </w:p>
    <w:p>
      <w:pPr>
        <w:pStyle w:val="FirstParagraph"/>
      </w:pPr>
      <w:r>
        <w:rPr>
          <w:rFonts w:hint="eastAsia"/>
          <w:b/>
          <w:bCs/>
        </w:rPr>
        <w:t xml:space="preserve">《智能数据标注平台产品白皮书》</w:t>
      </w:r>
      <w:r>
        <w:br/>
      </w:r>
      <w:r>
        <w:rPr>
          <w:rFonts w:hint="eastAsia"/>
        </w:rPr>
        <w:t xml:space="preserve">版本：V2.0（详细版）</w:t>
      </w:r>
      <w:r>
        <w:br/>
      </w:r>
      <w:r>
        <w:rPr>
          <w:rFonts w:hint="eastAsia"/>
        </w:rPr>
        <w:t xml:space="preserve">发布日期：2026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</w:rPr>
        <w:t xml:space="preserve">文件属性：正式投递版</w:t>
      </w:r>
      <w:r>
        <w:br/>
      </w:r>
      <w:r>
        <w:rPr>
          <w:rFonts w:hint="eastAsia"/>
        </w:rPr>
        <w:t xml:space="preserve">建议密级：对外受控/内部敏感（按场景选择）</w:t>
      </w:r>
      <w:r>
        <w:br/>
      </w:r>
      <w:r>
        <w:rPr>
          <w:rFonts w:hint="eastAsia"/>
        </w:rPr>
        <w:t xml:space="preserve">提交对象：客户决策层、技术委员会、采购与合规团队、项目评审会</w:t>
      </w:r>
    </w:p>
    <w:p>
      <w:pPr>
        <w:pStyle w:val="BodyText"/>
      </w:pPr>
      <w:r>
        <w:rPr>
          <w:rFonts w:hint="eastAsia"/>
        </w:rPr>
        <w:t xml:space="preserve">编制单位：________________</w:t>
      </w:r>
      <w:r>
        <w:br/>
      </w:r>
      <w:r>
        <w:rPr>
          <w:rFonts w:hint="eastAsia"/>
        </w:rPr>
        <w:t xml:space="preserve">联系人：________________</w:t>
      </w:r>
      <w:r>
        <w:br/>
      </w:r>
      <w:r>
        <w:rPr>
          <w:rFonts w:hint="eastAsia"/>
        </w:rPr>
        <w:t xml:space="preserve">邮箱：________________</w:t>
      </w:r>
      <w:r>
        <w:br/>
      </w:r>
      <w:r>
        <w:rPr>
          <w:rFonts w:hint="eastAsia"/>
        </w:rPr>
        <w:t xml:space="preserve">电话：________________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目录页"/>
    <w:p>
      <w:pPr>
        <w:pStyle w:val="Heading1"/>
      </w:pPr>
      <w:r>
        <w:rPr>
          <w:rFonts w:hint="eastAsia"/>
        </w:rPr>
        <w:t xml:space="preserve">目录页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行业背景与建设必要性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目标用户与应用场景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产品定位与价值主张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产品能力全景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端到端业务流程（图）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技术架构设计（图）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人机协同与数据闭环机制（图）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安全合规与治理体系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实施方法论与路线图（图）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商业价值与</w:t>
      </w:r>
      <w:r>
        <w:t xml:space="preserve"> ROI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风险识别与应对策略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结论与合作建议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统一术语页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A：指标口径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B：实施清单</w:t>
      </w:r>
    </w:p>
    <w:p>
      <w:r>
        <w:pict>
          <v:rect style="width:0;height:1.5pt" o:hralign="center" o:hrstd="t" o:hr="t"/>
        </w:pict>
      </w:r>
    </w:p>
    <w:bookmarkEnd w:id="10"/>
    <w:bookmarkStart w:id="11" w:name="Xcdff0541bc5f998faf69978356cd287227eba5a"/>
    <w:p>
      <w:pPr>
        <w:pStyle w:val="Heading1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智能化建设进入规模化阶段后，组织面临的关键问题不再是“是否有模型可用”，而是“能否持续、稳定、低成本地生产高质量训练与评估数据”。</w:t>
      </w:r>
      <w:r>
        <w:br/>
      </w:r>
      <w:r>
        <w:rPr>
          <w:rFonts w:hint="eastAsia"/>
        </w:rPr>
        <w:t xml:space="preserve">智能数据标注平台的核心使命，是将分散的人力、数据与工具能力整合为可治理、可迭代、可审计的数据生产系统。</w:t>
      </w:r>
    </w:p>
    <w:p>
      <w:pPr>
        <w:pStyle w:val="BodyText"/>
      </w:pPr>
      <w:r>
        <w:rPr>
          <w:rFonts w:hint="eastAsia"/>
        </w:rPr>
        <w:t xml:space="preserve">本白皮书提出一套可落地的平台方案，覆盖：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多模态数据标注与协同流程。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质量控制与一致性管理。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人机协同与模型回流机制。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权限审计与合规治理。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分阶段实施与可量化</w:t>
      </w:r>
      <w:r>
        <w:t xml:space="preserve"> ROI </w:t>
      </w:r>
      <w:r>
        <w:rPr>
          <w:rFonts w:hint="eastAsia"/>
        </w:rPr>
        <w:t xml:space="preserve">评估。</w:t>
      </w:r>
    </w:p>
    <w:p>
      <w:r>
        <w:pict>
          <v:rect style="width:0;height:1.5pt" o:hralign="center" o:hrstd="t" o:hr="t"/>
        </w:pict>
      </w:r>
    </w:p>
    <w:bookmarkEnd w:id="11"/>
    <w:bookmarkStart w:id="14" w:name="X7224bdfc2927c0a626bed3cfb8fc1f303551ffa"/>
    <w:p>
      <w:pPr>
        <w:pStyle w:val="Heading1"/>
      </w:pPr>
      <w:r>
        <w:t xml:space="preserve">2. </w:t>
      </w:r>
      <w:r>
        <w:rPr>
          <w:rFonts w:hint="eastAsia"/>
        </w:rPr>
        <w:t xml:space="preserve">行业背景与建设必要性</w:t>
      </w:r>
    </w:p>
    <w:bookmarkStart w:id="12" w:name="X5a5b35a5c18b478368b660eb5dbeb177a71bcbb"/>
    <w:p>
      <w:pPr>
        <w:pStyle w:val="Heading2"/>
      </w:pPr>
      <w:r>
        <w:t xml:space="preserve">2.1 </w:t>
      </w:r>
      <w:r>
        <w:rPr>
          <w:rFonts w:hint="eastAsia"/>
        </w:rPr>
        <w:t xml:space="preserve">行业变化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应用从试点转向生产，数据环节成为瓶颈。</w:t>
      </w:r>
      <w:r>
        <w:br/>
      </w:r>
      <w:r>
        <w:rPr>
          <w:rFonts w:hint="eastAsia"/>
        </w:rPr>
        <w:t xml:space="preserve">在试点阶段，项目通常依靠小规模样本和临时团队即可验证模型可行性；但进入生产阶段后，模型迭代节奏、业务覆盖范围和数据更新频率都会显著提高。</w:t>
      </w:r>
      <w:r>
        <w:br/>
      </w:r>
      <w:r>
        <w:rPr>
          <w:rFonts w:hint="eastAsia"/>
        </w:rPr>
        <w:t xml:space="preserve">组织需要持续提供大规模、高一致性、可追溯的数据资产，而数据采集、清洗、标注、复核、回流任一环节能力不足，都会直接拖慢模型上线速度并抬高单位样本成本。</w:t>
      </w:r>
      <w:r>
        <w:br/>
      </w:r>
      <w:r>
        <w:rPr>
          <w:rFonts w:hint="eastAsia"/>
        </w:rPr>
        <w:t xml:space="preserve">更关键的是，生产环境对稳定性和合规性要求更高，数据质量波动会放大为业务指标波动，权限管理与审计留痕缺失也会引入治理风险。</w:t>
      </w:r>
      <w:r>
        <w:br/>
      </w:r>
      <w:r>
        <w:rPr>
          <w:rFonts w:hint="eastAsia"/>
        </w:rPr>
        <w:t xml:space="preserve">因此，数据环节不再是“配套支持”，而是决定</w:t>
      </w:r>
      <w:r>
        <w:t xml:space="preserve"> AI </w:t>
      </w:r>
      <w:r>
        <w:rPr>
          <w:rFonts w:hint="eastAsia"/>
        </w:rPr>
        <w:t xml:space="preserve">应用能否规模化落地的核心产能环节。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多模态场景快速增长，单点工具难以覆盖端到端流程。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合规要求提升，数据留存、权限审计、跨域流转管理成为采购前置条件。</w:t>
      </w:r>
    </w:p>
    <w:bookmarkEnd w:id="12"/>
    <w:bookmarkStart w:id="13" w:name="Xdc3f07fa36d3e7505aff71fdc454ef04953dceb"/>
    <w:p>
      <w:pPr>
        <w:pStyle w:val="Heading2"/>
      </w:pPr>
      <w:r>
        <w:t xml:space="preserve">2.2 </w:t>
      </w:r>
      <w:r>
        <w:rPr>
          <w:rFonts w:hint="eastAsia"/>
        </w:rPr>
        <w:t xml:space="preserve">典型痛点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数据来源分散，任务编排依赖人工沟通。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标注标准不统一，返工率高，数据可信度不足。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模型与标注系统解耦，无法形成持续优化闭环。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缺少统一指标体系，管理层难以判断投入产出。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缺乏审计证据链，难通过安全与合规审查。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be7cc8dff048de92a9617a23562794a10f78ebd"/>
    <w:p>
      <w:pPr>
        <w:pStyle w:val="Heading1"/>
      </w:pPr>
      <w:r>
        <w:t xml:space="preserve">3. </w:t>
      </w:r>
      <w:r>
        <w:rPr>
          <w:rFonts w:hint="eastAsia"/>
        </w:rPr>
        <w:t xml:space="preserve">目标用户与应用场景</w:t>
      </w:r>
    </w:p>
    <w:bookmarkStart w:id="15" w:name="Xe641bd8e11b479206d7e0252608d6fc78030767"/>
    <w:p>
      <w:pPr>
        <w:pStyle w:val="Heading2"/>
      </w:pPr>
      <w:r>
        <w:t xml:space="preserve">3.1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业务负责人：关注交付周期、成本与业务结果。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算法团队：关注数据质量、样本覆盖与迭代效率。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数据团队：关注流程标准化与质量稳定性。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平台团队：关注系统集成、可扩展性与运维效率。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安全合规团队：关注权限、留痕、数据边界与风险控制。</w:t>
      </w:r>
    </w:p>
    <w:bookmarkEnd w:id="15"/>
    <w:bookmarkStart w:id="16" w:name="X019428de14d7bdf109d6a40fc76eda3e637e220"/>
    <w:p>
      <w:pPr>
        <w:pStyle w:val="Heading2"/>
      </w:pPr>
      <w:r>
        <w:t xml:space="preserve">3.2 </w:t>
      </w:r>
      <w:r>
        <w:rPr>
          <w:rFonts w:hint="eastAsia"/>
        </w:rPr>
        <w:t xml:space="preserve">重点场景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文本：分类、抽取、问答、对话质检。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图像/视频：检测、分割、行为事件识别。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音频：转写、说话人识别、情感与意图标注。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时序：工业信号、IoT</w:t>
      </w:r>
      <w:r>
        <w:t xml:space="preserve"> </w:t>
      </w:r>
      <w:r>
        <w:rPr>
          <w:rFonts w:hint="eastAsia"/>
        </w:rPr>
        <w:t xml:space="preserve">异常、设备健康监测。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融合场景：文本+图像、音频+文本等跨模态任务。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0343dc24a44f3a870a90f4c28bea05adf29748"/>
    <w:p>
      <w:pPr>
        <w:pStyle w:val="Heading1"/>
      </w:pPr>
      <w:r>
        <w:t xml:space="preserve">4. </w:t>
      </w:r>
      <w:r>
        <w:rPr>
          <w:rFonts w:hint="eastAsia"/>
        </w:rPr>
        <w:t xml:space="preserve">产品定位与价值主张</w:t>
      </w:r>
    </w:p>
    <w:bookmarkStart w:id="18" w:name="Xa1c544e01ce143c2abb7a1b089dfab05aaa0044"/>
    <w:p>
      <w:pPr>
        <w:pStyle w:val="Heading2"/>
      </w:pPr>
      <w:r>
        <w:t xml:space="preserve">4.1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智能数据标注平台是“数据生产与质量运营基础设施”，而不是单一标注工具。</w:t>
      </w:r>
      <w:r>
        <w:br/>
      </w:r>
      <w:r>
        <w:rPr>
          <w:rFonts w:hint="eastAsia"/>
        </w:rPr>
        <w:t xml:space="preserve">平台提供统一入口管理数据接入、任务分发、标注执行、质量复核、模型回流和结果交付。</w:t>
      </w:r>
    </w:p>
    <w:bookmarkEnd w:id="18"/>
    <w:bookmarkStart w:id="19" w:name="X87b09458d2a6146598a64e957c3018c97c65a2e"/>
    <w:p>
      <w:pPr>
        <w:pStyle w:val="Heading2"/>
      </w:pPr>
      <w:r>
        <w:t xml:space="preserve">4.2 </w:t>
      </w:r>
      <w:r>
        <w:rPr>
          <w:rFonts w:hint="eastAsia"/>
        </w:rPr>
        <w:t xml:space="preserve">价值主张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更快：缩短从样本到可训练数据的周期。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更稳：通过标准、审核与指标体系稳定质量。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更省：通过预标注和主动学习减少纯人工成本。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更可管：通过权限、审计与策略实现治理闭环。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更可扩：通过</w:t>
      </w:r>
      <w:r>
        <w:t xml:space="preserve"> API </w:t>
      </w:r>
      <w:r>
        <w:rPr>
          <w:rFonts w:hint="eastAsia"/>
        </w:rPr>
        <w:t xml:space="preserve">和插件化架构对接现有系统。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06797baeb35807be28d3465d21fb673f88054e"/>
    <w:p>
      <w:pPr>
        <w:pStyle w:val="Heading1"/>
      </w:pPr>
      <w:r>
        <w:t xml:space="preserve">5. </w:t>
      </w:r>
      <w:r>
        <w:rPr>
          <w:rFonts w:hint="eastAsia"/>
        </w:rPr>
        <w:t xml:space="preserve">产品能力全景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数据接入中心：支持文件、对象存储、流式数据批次导入。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项目与任务管理：支持项目模板、批次分发、进度与</w:t>
      </w:r>
      <w:r>
        <w:t xml:space="preserve"> SLA </w:t>
      </w:r>
      <w:r>
        <w:rPr>
          <w:rFonts w:hint="eastAsia"/>
        </w:rPr>
        <w:t xml:space="preserve">管理。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标注工作台：支持多模态、多类型标注控件与模板复用。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审核工作台：支持多级审核、抽检、争议样本仲裁。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质量中心：支持一致性评估、错误分布分析、返工闭环。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模型协同中心：支持预标注、样本优先级排序、结果回流。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集成与开放接口：支持与训练平台、仓库、报表系统联通。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安全治理中心：权限、审计、留存策略和合规导出。</w:t>
      </w:r>
    </w:p>
    <w:p>
      <w:r>
        <w:pict>
          <v:rect style="width:0;height:1.5pt" o:hralign="center" o:hrstd="t" o:hr="t"/>
        </w:pict>
      </w:r>
    </w:p>
    <w:bookmarkEnd w:id="21"/>
    <w:bookmarkStart w:id="25" w:name="Xe336c7b419802b95043fe4f01b39a77ebac5b18"/>
    <w:p>
      <w:pPr>
        <w:pStyle w:val="Heading1"/>
      </w:pPr>
      <w:r>
        <w:t xml:space="preserve">6. </w:t>
      </w:r>
      <w:r>
        <w:rPr>
          <w:rFonts w:hint="eastAsia"/>
        </w:rPr>
        <w:t xml:space="preserve">端到端业务流程（图）</w:t>
      </w:r>
    </w:p>
    <w:p>
      <w:pPr>
        <w:pStyle w:val="FirstParagraph"/>
      </w:pPr>
      <w:r>
        <w:drawing>
          <wp:inline>
            <wp:extent cx="5334000" cy="666750"/>
            <wp:effectExtent b="0" l="0" r="0" t="0"/>
            <wp:docPr descr="图 1" title="" id="23" name="Picture"/>
            <a:graphic>
              <a:graphicData uri="http://schemas.openxmlformats.org/drawingml/2006/picture">
                <pic:pic>
                  <pic:nvPicPr>
                    <pic:cNvPr descr="assets/whitepaper_detail_images/diagram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说明：该流程体现“任务执行闭环</w:t>
      </w:r>
      <w:r>
        <w:t xml:space="preserve"> + </w:t>
      </w:r>
      <w:r>
        <w:rPr>
          <w:rFonts w:hint="eastAsia"/>
        </w:rPr>
        <w:t xml:space="preserve">质量闭环</w:t>
      </w:r>
      <w:r>
        <w:t xml:space="preserve"> + </w:t>
      </w:r>
      <w:r>
        <w:rPr>
          <w:rFonts w:hint="eastAsia"/>
        </w:rPr>
        <w:t xml:space="preserve">模型闭环”三层联动。</w:t>
      </w:r>
    </w:p>
    <w:p>
      <w:r>
        <w:pict>
          <v:rect style="width:0;height:1.5pt" o:hralign="center" o:hrstd="t" o:hr="t"/>
        </w:pict>
      </w:r>
    </w:p>
    <w:bookmarkEnd w:id="25"/>
    <w:bookmarkStart w:id="29" w:name="X58bf63ba25cb401e8a74aeab2001c26386a61c3"/>
    <w:p>
      <w:pPr>
        <w:pStyle w:val="Heading1"/>
      </w:pPr>
      <w:r>
        <w:t xml:space="preserve">7. </w:t>
      </w:r>
      <w:r>
        <w:rPr>
          <w:rFonts w:hint="eastAsia"/>
        </w:rPr>
        <w:t xml:space="preserve">技术架构设计（图）</w:t>
      </w:r>
    </w:p>
    <w:p>
      <w:pPr>
        <w:pStyle w:val="FirstParagraph"/>
      </w:pPr>
      <w:r>
        <w:drawing>
          <wp:inline>
            <wp:extent cx="5334000" cy="21809675"/>
            <wp:effectExtent b="0" l="0" r="0" t="0"/>
            <wp:docPr descr="图 2" title="" id="27" name="Picture"/>
            <a:graphic>
              <a:graphicData uri="http://schemas.openxmlformats.org/drawingml/2006/picture">
                <pic:pic>
                  <pic:nvPicPr>
                    <pic:cNvPr descr="assets/whitepaper_detail_images/diagram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设计原则：高内聚、低耦合、可扩展、可审计、可观测。</w:t>
      </w:r>
    </w:p>
    <w:p>
      <w:r>
        <w:pict>
          <v:rect style="width:0;height:1.5pt" o:hralign="center" o:hrstd="t" o:hr="t"/>
        </w:pict>
      </w:r>
    </w:p>
    <w:bookmarkEnd w:id="29"/>
    <w:bookmarkStart w:id="33" w:name="X4d082bb3491f232a4863d36353ca2152d14d144"/>
    <w:p>
      <w:pPr>
        <w:pStyle w:val="Heading1"/>
      </w:pPr>
      <w:r>
        <w:t xml:space="preserve">8. </w:t>
      </w:r>
      <w:r>
        <w:rPr>
          <w:rFonts w:hint="eastAsia"/>
        </w:rPr>
        <w:t xml:space="preserve">人机协同与数据闭环机制（图）</w:t>
      </w:r>
    </w:p>
    <w:p>
      <w:pPr>
        <w:pStyle w:val="FirstParagraph"/>
      </w:pPr>
      <w:r>
        <w:drawing>
          <wp:inline>
            <wp:extent cx="5334000" cy="2680607"/>
            <wp:effectExtent b="0" l="0" r="0" t="0"/>
            <wp:docPr descr="图 3" title="" id="31" name="Picture"/>
            <a:graphic>
              <a:graphicData uri="http://schemas.openxmlformats.org/drawingml/2006/picture">
                <pic:pic>
                  <pic:nvPicPr>
                    <pic:cNvPr descr="assets/whitepaper_detail_images/diagram-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协同要点：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低置信度样本优先进入人工复核。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高频错误类型进入规则修复与模板优化。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回流样本按“价值优先级”进入下一轮训练。</w:t>
      </w:r>
    </w:p>
    <w:p>
      <w:r>
        <w:pict>
          <v:rect style="width:0;height:1.5pt" o:hralign="center" o:hrstd="t" o:hr="t"/>
        </w:pict>
      </w:r>
    </w:p>
    <w:bookmarkEnd w:id="33"/>
    <w:bookmarkStart w:id="38" w:name="X0f5916e8d961c14989779f60783d1b674129b31"/>
    <w:p>
      <w:pPr>
        <w:pStyle w:val="Heading1"/>
      </w:pPr>
      <w:r>
        <w:t xml:space="preserve">9. </w:t>
      </w:r>
      <w:r>
        <w:rPr>
          <w:rFonts w:hint="eastAsia"/>
        </w:rPr>
        <w:t xml:space="preserve">安全合规与治理体系</w:t>
      </w:r>
    </w:p>
    <w:bookmarkStart w:id="34" w:name="X274fae4340a676545266b21bef860d2f041b2a5"/>
    <w:p>
      <w:pPr>
        <w:pStyle w:val="Heading2"/>
      </w:pPr>
      <w:r>
        <w:t xml:space="preserve">9.1 </w:t>
      </w:r>
      <w:r>
        <w:rPr>
          <w:rFonts w:hint="eastAsia"/>
        </w:rPr>
        <w:t xml:space="preserve">权限与访问控制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基于角色的最小权限策略。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项目级、数据集级、操作级三层授权。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关键操作二次确认与审批流控制。</w:t>
      </w:r>
    </w:p>
    <w:bookmarkEnd w:id="34"/>
    <w:bookmarkStart w:id="35" w:name="Xf096cc09fa307ee50c2815fe9724d5e04d20603"/>
    <w:p>
      <w:pPr>
        <w:pStyle w:val="Heading2"/>
      </w:pPr>
      <w:r>
        <w:t xml:space="preserve">9.2 </w:t>
      </w:r>
      <w:r>
        <w:rPr>
          <w:rFonts w:hint="eastAsia"/>
        </w:rPr>
        <w:t xml:space="preserve">数据治理策略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数据分类分级与访问边界控制。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全链路加密（传输/存储）。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留存与销毁策略可配置。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脱敏与匿名化处理策略。</w:t>
      </w:r>
    </w:p>
    <w:bookmarkEnd w:id="35"/>
    <w:bookmarkStart w:id="36" w:name="X2473e5fd701bbb9840f890bc837f7e8d0441d44"/>
    <w:p>
      <w:pPr>
        <w:pStyle w:val="Heading2"/>
      </w:pPr>
      <w:r>
        <w:t xml:space="preserve">9.3 </w:t>
      </w:r>
      <w:r>
        <w:rPr>
          <w:rFonts w:hint="eastAsia"/>
        </w:rPr>
        <w:t xml:space="preserve">审计与可追溯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全量记录关键操作日志。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支持操作人、时间、对象、变更前后对比。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支持导出审计证据包用于内外部审查。</w:t>
      </w:r>
    </w:p>
    <w:bookmarkEnd w:id="36"/>
    <w:bookmarkStart w:id="37" w:name="X2993d31edb6f752815b462e7a07d9994fa404db"/>
    <w:p>
      <w:pPr>
        <w:pStyle w:val="Heading2"/>
      </w:pPr>
      <w:r>
        <w:t xml:space="preserve">9.4 </w:t>
      </w:r>
      <w:r>
        <w:rPr>
          <w:rFonts w:hint="eastAsia"/>
        </w:rPr>
        <w:t xml:space="preserve">合规落地建议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在项目前期完成安全评估与风险分级。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在试点阶段固化审计规则与报表模板。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在规模化阶段建立例行审查与异常处置流程。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13d6389ed24521d3753bccb96b367ea05211f65"/>
    <w:p>
      <w:pPr>
        <w:pStyle w:val="Heading1"/>
      </w:pPr>
      <w:r>
        <w:t xml:space="preserve">10. </w:t>
      </w:r>
      <w:r>
        <w:rPr>
          <w:rFonts w:hint="eastAsia"/>
        </w:rPr>
        <w:t xml:space="preserve">实施方法论与路线图（图）</w:t>
      </w:r>
    </w:p>
    <w:bookmarkStart w:id="39" w:name="X935d5176546259c3793e033215919da58def795"/>
    <w:p>
      <w:pPr>
        <w:pStyle w:val="Heading2"/>
      </w:pPr>
      <w:r>
        <w:t xml:space="preserve">10.1 </w:t>
      </w:r>
      <w:r>
        <w:rPr>
          <w:rFonts w:hint="eastAsia"/>
        </w:rPr>
        <w:t xml:space="preserve">实施方法论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先试点：选高价值、可量化场景快速验证。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再标准化：固化模板、流程与指标口径。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后规模化：复制到多团队、多业务线。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持续优化：按季度迭代规则、模型与组织协同机制。</w:t>
      </w:r>
    </w:p>
    <w:bookmarkEnd w:id="39"/>
    <w:bookmarkStart w:id="43" w:name="X6bf757ce91acd2853c1b86480027c23b0247afa"/>
    <w:p>
      <w:pPr>
        <w:pStyle w:val="Heading2"/>
      </w:pPr>
      <w:r>
        <w:t xml:space="preserve">10.2 </w:t>
      </w:r>
      <w:r>
        <w:rPr>
          <w:rFonts w:hint="eastAsia"/>
        </w:rPr>
        <w:t xml:space="preserve">路线图</w:t>
      </w:r>
    </w:p>
    <w:p>
      <w:pPr>
        <w:pStyle w:val="FirstParagraph"/>
      </w:pPr>
      <w:r>
        <w:drawing>
          <wp:inline>
            <wp:extent cx="5334000" cy="1986642"/>
            <wp:effectExtent b="0" l="0" r="0" t="0"/>
            <wp:docPr descr="图 4" title="" id="41" name="Picture"/>
            <a:graphic>
              <a:graphicData uri="http://schemas.openxmlformats.org/drawingml/2006/picture">
                <pic:pic>
                  <pic:nvPicPr>
                    <pic:cNvPr descr="assets/whitepaper_detail_images/diagram-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801ce71f00199ecddcc4668890b82f7fb68a5e8"/>
    <w:p>
      <w:pPr>
        <w:pStyle w:val="Heading1"/>
      </w:pPr>
      <w:r>
        <w:t xml:space="preserve">11. </w:t>
      </w:r>
      <w:r>
        <w:rPr>
          <w:rFonts w:hint="eastAsia"/>
        </w:rPr>
        <w:t xml:space="preserve">商业价值与</w:t>
      </w:r>
      <w:r>
        <w:t xml:space="preserve"> ROI </w:t>
      </w:r>
      <w:r>
        <w:rPr>
          <w:rFonts w:hint="eastAsia"/>
        </w:rPr>
        <w:t xml:space="preserve">模型</w:t>
      </w:r>
    </w:p>
    <w:bookmarkStart w:id="45" w:name="Xf4bb7c6f4a3eec30533cc0724dffad04e905e25"/>
    <w:p>
      <w:pPr>
        <w:pStyle w:val="Heading2"/>
      </w:pPr>
      <w:r>
        <w:t xml:space="preserve">11.1 </w:t>
      </w:r>
      <w:r>
        <w:rPr>
          <w:rFonts w:hint="eastAsia"/>
        </w:rPr>
        <w:t xml:space="preserve">成本侧收益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人工标注工时下降。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返工与沟通成本下降。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重复采集与重复标注成本下降。</w:t>
      </w:r>
    </w:p>
    <w:bookmarkEnd w:id="45"/>
    <w:bookmarkStart w:id="46" w:name="X468f53f9a2e8931b2b6b39c3dd22a7371a73c6e"/>
    <w:p>
      <w:pPr>
        <w:pStyle w:val="Heading2"/>
      </w:pPr>
      <w:r>
        <w:t xml:space="preserve">11.2 </w:t>
      </w:r>
      <w:r>
        <w:rPr>
          <w:rFonts w:hint="eastAsia"/>
        </w:rPr>
        <w:t xml:space="preserve">效率侧收益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交付周期缩短。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样本周转率提升。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多团队协同效率提升。</w:t>
      </w:r>
    </w:p>
    <w:bookmarkEnd w:id="46"/>
    <w:bookmarkStart w:id="47" w:name="Xbf6a6a8a82362daf6bcbfdc1385918ac8c33250"/>
    <w:p>
      <w:pPr>
        <w:pStyle w:val="Heading2"/>
      </w:pPr>
      <w:r>
        <w:t xml:space="preserve">11.3 </w:t>
      </w:r>
      <w:r>
        <w:rPr>
          <w:rFonts w:hint="eastAsia"/>
        </w:rPr>
        <w:t xml:space="preserve">质量侧收益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首次通过率提升。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一致性指标提升。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模型评估数据稳定性提升。</w:t>
      </w:r>
    </w:p>
    <w:bookmarkEnd w:id="47"/>
    <w:bookmarkStart w:id="48" w:name="X2b8762707edc80bbb38aa5a382f377ad2ad44ca"/>
    <w:p>
      <w:pPr>
        <w:pStyle w:val="Heading2"/>
      </w:pPr>
      <w:r>
        <w:t xml:space="preserve">11.4 ROI </w:t>
      </w:r>
      <w:r>
        <w:rPr>
          <w:rFonts w:hint="eastAsia"/>
        </w:rPr>
        <w:t xml:space="preserve">建议公式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年化收益</w:t>
      </w:r>
      <w:r>
        <w:t xml:space="preserve"> = </w:t>
      </w:r>
      <w:r>
        <w:rPr>
          <w:rFonts w:hint="eastAsia"/>
        </w:rPr>
        <w:t xml:space="preserve">成本节约</w:t>
      </w:r>
      <w:r>
        <w:t xml:space="preserve"> + </w:t>
      </w:r>
      <w:r>
        <w:rPr>
          <w:rFonts w:hint="eastAsia"/>
        </w:rPr>
        <w:t xml:space="preserve">效率增益折算</w:t>
      </w:r>
      <w:r>
        <w:t xml:space="preserve"> + </w:t>
      </w:r>
      <w:r>
        <w:rPr>
          <w:rFonts w:hint="eastAsia"/>
        </w:rPr>
        <w:t xml:space="preserve">质量增益折算。</w:t>
      </w:r>
    </w:p>
    <w:p>
      <w:pPr>
        <w:pStyle w:val="Compact"/>
        <w:numPr>
          <w:ilvl w:val="0"/>
          <w:numId w:val="1018"/>
        </w:numPr>
      </w:pPr>
      <w:r>
        <w:t xml:space="preserve">ROI = </w:t>
      </w:r>
      <w:r>
        <w:rPr>
          <w:rFonts w:hint="eastAsia"/>
        </w:rPr>
        <w:t xml:space="preserve">（年化收益</w:t>
      </w:r>
      <w:r>
        <w:t xml:space="preserve"> - </w:t>
      </w:r>
      <w:r>
        <w:rPr>
          <w:rFonts w:hint="eastAsia"/>
        </w:rPr>
        <w:t xml:space="preserve">年化总投入）/</w:t>
      </w:r>
      <w:r>
        <w:t xml:space="preserve"> </w:t>
      </w:r>
      <w:r>
        <w:rPr>
          <w:rFonts w:hint="eastAsia"/>
        </w:rPr>
        <w:t xml:space="preserve">年化总投入。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回本周期（月）=</w:t>
      </w:r>
      <w:r>
        <w:t xml:space="preserve"> </w:t>
      </w:r>
      <w:r>
        <w:rPr>
          <w:rFonts w:hint="eastAsia"/>
        </w:rPr>
        <w:t xml:space="preserve">项目总投入</w:t>
      </w:r>
      <w:r>
        <w:t xml:space="preserve"> / </w:t>
      </w:r>
      <w:r>
        <w:rPr>
          <w:rFonts w:hint="eastAsia"/>
        </w:rPr>
        <w:t xml:space="preserve">月度净收益。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6e7898ed6f0ff577e1cdd4442dc3758ffeb702c"/>
    <w:p>
      <w:pPr>
        <w:pStyle w:val="Heading1"/>
      </w:pPr>
      <w:r>
        <w:t xml:space="preserve">12. </w:t>
      </w:r>
      <w:r>
        <w:rPr>
          <w:rFonts w:hint="eastAsia"/>
        </w:rPr>
        <w:t xml:space="preserve">风险识别与应对策略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范围膨胀风险：采用里程碑范围冻结机制。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标准不一致风险：建立样本标准库与审核准则。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协同风险：采用</w:t>
      </w:r>
      <w:r>
        <w:t xml:space="preserve"> RACI </w:t>
      </w:r>
      <w:r>
        <w:rPr>
          <w:rFonts w:hint="eastAsia"/>
        </w:rPr>
        <w:t xml:space="preserve">机制与固定节奏评审。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质量波动风险：建立抽检规则与异常告警阈值。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合规风险：前置安全评估，分阶段放量上线。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成本失控风险：持续监控单位样本成本与资源利用率。</w:t>
      </w:r>
    </w:p>
    <w:p>
      <w:r>
        <w:pict>
          <v:rect style="width:0;height:1.5pt" o:hralign="center" o:hrstd="t" o:hr="t"/>
        </w:pict>
      </w:r>
    </w:p>
    <w:bookmarkEnd w:id="50"/>
    <w:bookmarkStart w:id="51" w:name="X7ea0e816cae561745daf606e20930a133c3940d"/>
    <w:p>
      <w:pPr>
        <w:pStyle w:val="Heading1"/>
      </w:pPr>
      <w:r>
        <w:t xml:space="preserve">13. </w:t>
      </w:r>
      <w:r>
        <w:rPr>
          <w:rFonts w:hint="eastAsia"/>
        </w:rPr>
        <w:t xml:space="preserve">结论与合作建议</w:t>
      </w:r>
    </w:p>
    <w:p>
      <w:pPr>
        <w:pStyle w:val="FirstParagraph"/>
      </w:pPr>
      <w:r>
        <w:rPr>
          <w:rFonts w:hint="eastAsia"/>
        </w:rPr>
        <w:t xml:space="preserve">智能数据标注平台的建设价值，不在于替代单个工具，而在于建立“数据生产系统能力”。</w:t>
      </w:r>
      <w:r>
        <w:br/>
      </w:r>
      <w:r>
        <w:rPr>
          <w:rFonts w:hint="eastAsia"/>
        </w:rPr>
        <w:t xml:space="preserve">建议组织采用“试点验证—标准化—规模化—持续优化”的路径推进，通过统一流程、统一指标、统一治理，实现可持续的</w:t>
      </w:r>
      <w:r>
        <w:t xml:space="preserve"> AI </w:t>
      </w:r>
      <w:r>
        <w:rPr>
          <w:rFonts w:hint="eastAsia"/>
        </w:rPr>
        <w:t xml:space="preserve">数据供给能力。</w:t>
      </w:r>
    </w:p>
    <w:p>
      <w:r>
        <w:pict>
          <v:rect style="width:0;height:1.5pt" o:hralign="center" o:hrstd="t" o:hr="t"/>
        </w:pict>
      </w:r>
    </w:p>
    <w:bookmarkEnd w:id="51"/>
    <w:bookmarkStart w:id="52" w:name="Xac86505aca61059418fbadb6e1d61159fdfe611"/>
    <w:p>
      <w:pPr>
        <w:pStyle w:val="Heading1"/>
      </w:pPr>
      <w:r>
        <w:t xml:space="preserve">14. </w:t>
      </w:r>
      <w:r>
        <w:rPr>
          <w:rFonts w:hint="eastAsia"/>
        </w:rPr>
        <w:t xml:space="preserve">统一术语页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对原始样本添加结构化语义信息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训练与评估数据基础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可复用的任务配置规则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缩短新场景上线周期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模型先输出初始标签供人工修订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提升人效、降低成本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按价值优先分配样本处理顺序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提升单位样本价值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多标注员对同一任务结果的一致程度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审核驳回后需重做样本占比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反映流程成熟度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标注结果回流模型并驱动下一轮任务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支撑持续优化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关键操作全链路留痕记录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支撑合规与问责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责任分工模型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提升跨团队执行效率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服务级别承诺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保障交付与服务质量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X5b2b665641695598bbb91b81a24abc2b502e59d"/>
    <w:p>
      <w:pPr>
        <w:pStyle w:val="Heading1"/>
      </w:pPr>
      <w:r>
        <w:t xml:space="preserve">15.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A：指标口径</w:t>
      </w:r>
    </w:p>
    <w:bookmarkStart w:id="53" w:name="a1-效率指标"/>
    <w:p>
      <w:pPr>
        <w:pStyle w:val="Heading2"/>
      </w:pPr>
      <w:r>
        <w:t xml:space="preserve">A.1 </w:t>
      </w:r>
      <w:r>
        <w:rPr>
          <w:rFonts w:hint="eastAsia"/>
        </w:rPr>
        <w:t xml:space="preserve">效率指标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平均标注时长（秒/样本）=</w:t>
      </w:r>
      <w:r>
        <w:t xml:space="preserve"> </w:t>
      </w:r>
      <w:r>
        <w:rPr>
          <w:rFonts w:hint="eastAsia"/>
        </w:rPr>
        <w:t xml:space="preserve">总标注耗时</w:t>
      </w:r>
      <w:r>
        <w:t xml:space="preserve"> / </w:t>
      </w:r>
      <w:r>
        <w:rPr>
          <w:rFonts w:hint="eastAsia"/>
        </w:rPr>
        <w:t xml:space="preserve">样本量。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单人日产能（样本/人天）=</w:t>
      </w:r>
      <w:r>
        <w:t xml:space="preserve"> </w:t>
      </w:r>
      <w:r>
        <w:rPr>
          <w:rFonts w:hint="eastAsia"/>
        </w:rPr>
        <w:t xml:space="preserve">日完成样本</w:t>
      </w:r>
      <w:r>
        <w:t xml:space="preserve"> / </w:t>
      </w:r>
      <w:r>
        <w:rPr>
          <w:rFonts w:hint="eastAsia"/>
        </w:rPr>
        <w:t xml:space="preserve">人天投入。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任务交付周期（天）=</w:t>
      </w:r>
      <w:r>
        <w:t xml:space="preserve"> </w:t>
      </w:r>
      <w:r>
        <w:rPr>
          <w:rFonts w:hint="eastAsia"/>
        </w:rPr>
        <w:t xml:space="preserve">创建至业务验收自然日。</w:t>
      </w:r>
    </w:p>
    <w:bookmarkEnd w:id="53"/>
    <w:bookmarkStart w:id="54" w:name="a2-质量指标"/>
    <w:p>
      <w:pPr>
        <w:pStyle w:val="Heading2"/>
      </w:pPr>
      <w:r>
        <w:t xml:space="preserve">A.2 </w:t>
      </w:r>
      <w:r>
        <w:rPr>
          <w:rFonts w:hint="eastAsia"/>
        </w:rPr>
        <w:t xml:space="preserve">质量指标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首次通过率</w:t>
      </w:r>
      <w:r>
        <w:t xml:space="preserve"> = </w:t>
      </w:r>
      <w:r>
        <w:rPr>
          <w:rFonts w:hint="eastAsia"/>
        </w:rPr>
        <w:t xml:space="preserve">一次审核通过样本</w:t>
      </w:r>
      <w:r>
        <w:t xml:space="preserve"> / </w:t>
      </w:r>
      <w:r>
        <w:rPr>
          <w:rFonts w:hint="eastAsia"/>
        </w:rPr>
        <w:t xml:space="preserve">审核总样本。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返工率</w:t>
      </w:r>
      <w:r>
        <w:t xml:space="preserve"> = </w:t>
      </w:r>
      <w:r>
        <w:rPr>
          <w:rFonts w:hint="eastAsia"/>
        </w:rPr>
        <w:t xml:space="preserve">驳回样本</w:t>
      </w:r>
      <w:r>
        <w:t xml:space="preserve"> / </w:t>
      </w:r>
      <w:r>
        <w:rPr>
          <w:rFonts w:hint="eastAsia"/>
        </w:rPr>
        <w:t xml:space="preserve">标注总样本。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一致性得分</w:t>
      </w:r>
      <w:r>
        <w:t xml:space="preserve"> = </w:t>
      </w:r>
      <w:r>
        <w:rPr>
          <w:rFonts w:hint="eastAsia"/>
        </w:rPr>
        <w:t xml:space="preserve">双盲一致样本</w:t>
      </w:r>
      <w:r>
        <w:t xml:space="preserve"> / </w:t>
      </w:r>
      <w:r>
        <w:rPr>
          <w:rFonts w:hint="eastAsia"/>
        </w:rPr>
        <w:t xml:space="preserve">双盲样本总量。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缺陷密度</w:t>
      </w:r>
      <w:r>
        <w:t xml:space="preserve"> = </w:t>
      </w:r>
      <w:r>
        <w:rPr>
          <w:rFonts w:hint="eastAsia"/>
        </w:rPr>
        <w:t xml:space="preserve">质量问题样本</w:t>
      </w:r>
      <w:r>
        <w:t xml:space="preserve"> / </w:t>
      </w:r>
      <w:r>
        <w:rPr>
          <w:rFonts w:hint="eastAsia"/>
        </w:rPr>
        <w:t xml:space="preserve">千样本。</w:t>
      </w:r>
    </w:p>
    <w:bookmarkEnd w:id="54"/>
    <w:bookmarkStart w:id="55" w:name="a3-治理指标"/>
    <w:p>
      <w:pPr>
        <w:pStyle w:val="Heading2"/>
      </w:pPr>
      <w:r>
        <w:t xml:space="preserve">A.3 </w:t>
      </w:r>
      <w:r>
        <w:rPr>
          <w:rFonts w:hint="eastAsia"/>
        </w:rPr>
        <w:t xml:space="preserve">治理指标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审计覆盖率</w:t>
      </w:r>
      <w:r>
        <w:t xml:space="preserve"> = </w:t>
      </w:r>
      <w:r>
        <w:rPr>
          <w:rFonts w:hint="eastAsia"/>
        </w:rPr>
        <w:t xml:space="preserve">有审计记录关键操作</w:t>
      </w:r>
      <w:r>
        <w:t xml:space="preserve"> / </w:t>
      </w:r>
      <w:r>
        <w:rPr>
          <w:rFonts w:hint="eastAsia"/>
        </w:rPr>
        <w:t xml:space="preserve">关键操作总数。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权限合规率</w:t>
      </w:r>
      <w:r>
        <w:t xml:space="preserve"> = </w:t>
      </w:r>
      <w:r>
        <w:rPr>
          <w:rFonts w:hint="eastAsia"/>
        </w:rPr>
        <w:t xml:space="preserve">符合最小权限策略账号</w:t>
      </w:r>
      <w:r>
        <w:t xml:space="preserve"> / </w:t>
      </w:r>
      <w:r>
        <w:rPr>
          <w:rFonts w:hint="eastAsia"/>
        </w:rPr>
        <w:t xml:space="preserve">账号总数。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异常闭环时效</w:t>
      </w:r>
      <w:r>
        <w:t xml:space="preserve"> = </w:t>
      </w:r>
      <w:r>
        <w:rPr>
          <w:rFonts w:hint="eastAsia"/>
        </w:rPr>
        <w:t xml:space="preserve">异常发现到处置完成平均时长。</w:t>
      </w:r>
    </w:p>
    <w:bookmarkEnd w:id="55"/>
    <w:bookmarkStart w:id="56" w:name="a4-经营指标"/>
    <w:p>
      <w:pPr>
        <w:pStyle w:val="Heading2"/>
      </w:pPr>
      <w:r>
        <w:t xml:space="preserve">A.4 </w:t>
      </w:r>
      <w:r>
        <w:rPr>
          <w:rFonts w:hint="eastAsia"/>
        </w:rPr>
        <w:t xml:space="preserve">经营指标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单位样本成本</w:t>
      </w:r>
      <w:r>
        <w:t xml:space="preserve"> = </w:t>
      </w:r>
      <w:r>
        <w:rPr>
          <w:rFonts w:hint="eastAsia"/>
        </w:rPr>
        <w:t xml:space="preserve">项目总成本</w:t>
      </w:r>
      <w:r>
        <w:t xml:space="preserve"> / </w:t>
      </w:r>
      <w:r>
        <w:rPr>
          <w:rFonts w:hint="eastAsia"/>
        </w:rPr>
        <w:t xml:space="preserve">有效样本总数。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人机协同贡献率</w:t>
      </w:r>
      <w:r>
        <w:t xml:space="preserve"> = </w:t>
      </w:r>
      <w:r>
        <w:rPr>
          <w:rFonts w:hint="eastAsia"/>
        </w:rPr>
        <w:t xml:space="preserve">预标注修订样本</w:t>
      </w:r>
      <w:r>
        <w:t xml:space="preserve"> / </w:t>
      </w:r>
      <w:r>
        <w:rPr>
          <w:rFonts w:hint="eastAsia"/>
        </w:rPr>
        <w:t xml:space="preserve">总样本。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回本周期</w:t>
      </w:r>
      <w:r>
        <w:t xml:space="preserve"> = </w:t>
      </w:r>
      <w:r>
        <w:rPr>
          <w:rFonts w:hint="eastAsia"/>
        </w:rPr>
        <w:t xml:space="preserve">总投入</w:t>
      </w:r>
      <w:r>
        <w:t xml:space="preserve"> / </w:t>
      </w:r>
      <w:r>
        <w:rPr>
          <w:rFonts w:hint="eastAsia"/>
        </w:rPr>
        <w:t xml:space="preserve">月度净收益。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ea4be8d0154a96144e0a82715c643f0904975c2"/>
    <w:p>
      <w:pPr>
        <w:pStyle w:val="Heading1"/>
      </w:pPr>
      <w:r>
        <w:t xml:space="preserve">16.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B：实施清单</w:t>
      </w:r>
    </w:p>
    <w:bookmarkStart w:id="58" w:name="b1-项目启动清单"/>
    <w:p>
      <w:pPr>
        <w:pStyle w:val="Heading2"/>
      </w:pPr>
      <w:r>
        <w:t xml:space="preserve">B.1 </w:t>
      </w:r>
      <w:r>
        <w:rPr>
          <w:rFonts w:hint="eastAsia"/>
        </w:rPr>
        <w:t xml:space="preserve">项目启动清单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明确业务目标、范围、边界和成功标准。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明确项目组织、职责与升级路径。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建立基线数据（效率/质量/成本）。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完成安全与合规前置评估。</w:t>
      </w:r>
    </w:p>
    <w:bookmarkEnd w:id="58"/>
    <w:bookmarkStart w:id="59" w:name="b2-试点执行清单"/>
    <w:p>
      <w:pPr>
        <w:pStyle w:val="Heading2"/>
      </w:pPr>
      <w:r>
        <w:t xml:space="preserve">B.2 </w:t>
      </w:r>
      <w:r>
        <w:rPr>
          <w:rFonts w:hint="eastAsia"/>
        </w:rPr>
        <w:t xml:space="preserve">试点执行清单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完成模板配置与样本分层策略。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完成角色授权与流程联调。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建立抽检规则与争议处理机制。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输出周报与阶段复盘结论。</w:t>
      </w:r>
    </w:p>
    <w:bookmarkEnd w:id="59"/>
    <w:bookmarkStart w:id="60" w:name="b3-规模化推广清单"/>
    <w:p>
      <w:pPr>
        <w:pStyle w:val="Heading2"/>
      </w:pPr>
      <w:r>
        <w:t xml:space="preserve">B.3 </w:t>
      </w:r>
      <w:r>
        <w:rPr>
          <w:rFonts w:hint="eastAsia"/>
        </w:rPr>
        <w:t xml:space="preserve">规模化推广清单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完成多业务线复制计划与节奏。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完成平台监控告警与容量规划。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完成培训体系和操作手册。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建立季度优化机制与责任人台账。</w:t>
      </w:r>
    </w:p>
    <w:bookmarkEnd w:id="60"/>
    <w:bookmarkStart w:id="61" w:name="b4-投递前检查清单"/>
    <w:p>
      <w:pPr>
        <w:pStyle w:val="Heading2"/>
      </w:pPr>
      <w:r>
        <w:t xml:space="preserve">B.4 </w:t>
      </w:r>
      <w:r>
        <w:rPr>
          <w:rFonts w:hint="eastAsia"/>
        </w:rPr>
        <w:t xml:space="preserve">投递前检查清单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封面信息、密级、联系人是否完整。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指标口径是否与经营报表一致。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图表是否可渲染、编号是否正确。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对外版本是否完成法务/合规审阅。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2026-04-01T08:03:48Z</dcterms:created>
  <dcterms:modified xsi:type="dcterms:W3CDTF">2026-04-01T08:03:48Z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