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基于真实公开数据的无人机机型</w:t>
        <w:br/>
        <w:t>图像分类与多模型比较研究</w:t>
      </w:r>
    </w:p>
    <w:p>
      <w:pPr>
        <w:ind w:firstLine="0"/>
        <w:jc w:val="center"/>
      </w:pPr>
      <w:r>
        <w:rPr>
          <w:rFonts w:ascii="Times New Roman" w:hAnsi="Times New Roman" w:eastAsia="黑体"/>
          <w:b/>
          <w:color w:val="000000"/>
          <w:sz w:val="28"/>
        </w:rPr>
        <w:t>机器学习课程综合设计实验报告</w:t>
      </w:r>
    </w:p>
    <w:p>
      <w:pPr>
        <w:pStyle w:val="Heading1"/>
      </w:pPr>
      <w:r>
        <w:rPr>
          <w:rFonts w:ascii="Times New Roman" w:hAnsi="Times New Roman" w:eastAsia="黑体"/>
          <w:b/>
          <w:color w:val="000000"/>
          <w:sz w:val="32"/>
        </w:rPr>
        <w:t>摘要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面向无人机细粒度机型识别，本文建立公开数据获取、自编网页爬虫、目标框审核、图像裁剪、特征工程与多模型评估流程。原始采集总表记录 32,077 张原图；主实验形成 20,010 张真实目标裁剪，涵盖 12 个作者定义类别。按保守场景与相似性约束组划分训练集 14,106 张、测试集 5,904 张，比例约为 7∶3。传统模型在训练集内部执行两折分组交叉验证和网格搜索，Qwen3-VL 则按预设参数训练一轮，未另设验证集。实验比较手工视觉特征与冻结 SigLIP2 特征上的逻辑回归、KNN、RBF-SVM、随机森林，以及 Qwen3-VL-2B 的零样本和两种 QLoRA 监督微调，共 13 组结果。手工特征调优 KNN 在测试集取得 0.7307 的准确率和 0.6108 的 Macro-F1；标准 QLoRA 的相应指标为 0.4946 和 0.3668，优于零样本，但未超过传统基线。测试集只覆盖 8 类，交叉验证仅对可分组的 6 类计分；1,262 张裁剪短边小于 24 像素，尚未开展尺度筛选后重训。因此，本研究提供的是当前分组协议下的诊断结果，不能据此宣称完整十二类独立来源泛化能力。报告保留关键代码、数据样例、参数、调优对比、失败记录和可复现性说明。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</w:r>
      <w:r>
        <w:rPr>
          <w:rFonts w:ascii="Times New Roman" w:hAnsi="Times New Roman" w:eastAsia="宋体"/>
          <w:b/>
          <w:color w:val="000000"/>
          <w:sz w:val="24"/>
        </w:rPr>
        <w:t>关键词：</w:t>
      </w:r>
      <w:r>
        <w:rPr>
          <w:rFonts w:ascii="Times New Roman" w:hAnsi="Times New Roman" w:eastAsia="宋体"/>
          <w:b w:val="0"/>
          <w:color w:val="000000"/>
          <w:sz w:val="24"/>
        </w:rPr>
        <w:t xml:space="preserve"> 无人机机型分类；网页爬虫；特征工程；分组交叉验证；视觉语言模型；QLoRA</w:t>
      </w:r>
    </w:p>
    <w:p>
      <w:pPr>
        <w:ind w:firstLine="0"/>
      </w:pPr>
      <w:r>
        <w:rPr>
          <w:rFonts w:ascii="Times New Roman" w:hAnsi="Times New Roman" w:eastAsia="宋体"/>
          <w:b w:val="0"/>
          <w:color w:val="000000"/>
          <w:sz w:val="21"/>
        </w:rPr>
        <w:t>项目代码仓库：</w:t>
      </w:r>
      <w:hyperlink r:id="rId10">
        <w:r>
          <w:rPr>
            <w:color w:val="0563C1"/>
            <w:u w:val="single"/>
            <w:sz w:val="21"/>
          </w:rPr>
          <w:t>https://github.com/fangdawei33/uav-type-classification-course-project</w:t>
        </w:r>
      </w:hyperlink>
    </w:p>
    <w:p>
      <w:pPr>
        <w:pStyle w:val="Heading1"/>
        <w:pageBreakBefore/>
      </w:pPr>
      <w:r>
        <w:rPr>
          <w:rFonts w:ascii="Times New Roman" w:hAnsi="Times New Roman" w:eastAsia="黑体"/>
          <w:b/>
          <w:color w:val="000000"/>
          <w:sz w:val="32"/>
        </w:rPr>
        <w:t>1 实验概述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1.1 实验目的与任务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本实验对应课程任务背景 2 的无人机机型分类分支，目标是完成真实数据采集、预处理、特征工程、数据划分、至少四种不同原理模型、指标比较、网格搜索和结果分析的完整流程。Drone-type-Set 提供按机型研究检测与跟踪的数据基础[1]；本研究输入是公开作者目标框裁剪后的无人机图像，输出为 0 至 11 的机型标签。分类以外的端到端目标检测不在本次实现范围内。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研究问题 RQ1 关注公开采集样本如何转化为可追溯的监督数据，并判断类别与来源组能支持怎样的评价范围；RQ2 比较手工特征与冻结预训练视觉表示在相同协议下的识别表现；RQ3 检查有限预算的视觉语言模型监督适配能否改善零样本，以及类别加权是否带来进一步收益。第3章回答数据与方法设计，第4章展示对应证据，第5章讨论误差与结论边界。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本研究的工作包括可复查的数据获取与处理流程、相同测试协议下的多模型比较，以及基于真实失败结果的细粒度识别诊断。HOG、KNN、SigLIP2 和 QLoRA 均采用既有方法，不将流程组合表述为已验证的新算法。网页标题、图注等文本用于采集溯源和人工核对，没有与图像逐条配对的飞行日志或传感器数据，因此本实验属于图像分类与视觉语言模型适配，不声称完成图文传感器多模态融合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图1概括三条独立比较路径。传统分支用于建立有解释力的基线，Qwen 分支检验监督适配；各分支共享数据协议而非彼此融合。</w:t>
      </w:r>
    </w:p>
    <w:p>
      <w:pPr>
        <w:keepNext/>
        <w:spacing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950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_framewor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950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图1 研究框架与独立比较路径。传统模型在训练内部交叉验证，Qwen 按预设参数训练；统一冻结后评价同一测试集。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1.2 软硬件环境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本地 Windows 环境负责数据采集、裁剪、清单整理与报告生成。主模型实验在 Google Colab 的 NVIDIA A100-SXM4-40GB 上完成，随机种子设为 42；早期四类合成辅助实验使用 T4，两套实验单独登记，不混入主结果。主实验返回环境记录为 Python 3.13.15、PyTorch 2.11.0+cu130、CUDA 13.0、Transformers 4.57.1、PEFT 0.17.1、Accelerate 1.15.0、bitsandbytes 0.48.2、NumPy 2.1.3、pandas 2.2.3、scikit-learn 1.6.1、scikit-image 0.25.2、Pillow 11.3.0。采集和可视化代码使用 requests、BeautifulSoup、matplotlib 等，完整依赖由 requirements 文件及运行回执记录。</w:t>
      </w:r>
    </w:p>
    <w:p>
      <w:pPr>
        <w:pStyle w:val="Heading1"/>
      </w:pPr>
      <w:r>
        <w:rPr>
          <w:rFonts w:ascii="Times New Roman" w:hAnsi="Times New Roman" w:eastAsia="黑体"/>
          <w:b/>
          <w:color w:val="000000"/>
          <w:sz w:val="32"/>
        </w:rPr>
        <w:t>2 相关原理说明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2.1 爬虫与数据预处理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HTTP 爬虫获取公开页面，用 HTML 解析器按配置选择正文、图片链接与图注，再下载允许采集的媒体。页面结构、网络状态、限流、robots 规则和内容更新都会影响采集结果。URL、时间、HTML 快照和 SHA-256 哈希构成追溯链；网页中的机型词只能提供候选标签，不能代替对目标身份和框位置的核查。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预处理包含缺失统计、无效样本处理、文本解析、图像解码、颜色空间统一和重复检测。标签或目标框属于监督必需字段，缺失时应阻止准入或待复核，不能用均值补造；数值特征缺失可在训练折内用中位数填补。对异常框执行边界与面积检查，对低清晰度、暗图和小目标保留质量标记，不能把罕见但有效的困难样本直接当作统计异常值删除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2.2 特征与四类传统模型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HOG 统计局部梯度方向，描述机身与旋翼轮廓；HSV 统计量和直方图描述颜色分布；LBP 描述局部纹理。特征标准化采用 z=(x−μ训练)/σ训练，均值和标准差只从当前训练折估计。方差筛选删除当前训练折的常量维度。SigLIP2 提供冻结预训练图像编码器输出的 768 维表示，提取表示后仍需用本任务训练集拟合分类器。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逻辑回归通过线性得分和概率损失学习类别边界，计算稳定但不能直接表达复杂非线性结构。KNN 根据特征距离选取邻居并投票，几乎无需参数化训练，但高维距离与预测开销可能成为限制。RBF-SVM 使用核函数形成非线性间隔边界，C 控制拟合与正则化的权衡，gamma 控制局部影响范围。随机森林对多个随机化决策树的预测集成，能表达非线性和特征交互，并提供基于不纯度下降的重要性。四类模型分别代表线性、邻域、核方法和树集成原理，不通过任意融合来凑足模型数量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2.3 视觉语言模型监督适配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Qwen3-VL-2B-Instruct[5] 接收目标裁剪与候选标签说明，输出 LABEL_00 至 LABEL_11 中的一个标签字符串。标签字符串可能包含多个 tokenizer token，因此不把其等同于单个词元。QLoRA[4] 以 4-bit NF4 存储基座权重，在选定语言侧线性层加入 LoRA[3] 低秩可训练矩阵；本次冻结视觉主干，训练标准损失和平方根逆类别频率加权损失两个版本。类别权重在全训练集归一化，不用单样本批内的归一化方式抵消加权效果。本实验未实现强化学习。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2.4 评价指标与交叉验证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对类别 c，有 Precision_c=TP_c/(TP_c+FP_c)，Recall_c=TP_c/(TP_c+FN_c)，F1_c=2×Precision_c×Recall_c/(Precision_c+Recall_c)。Accuracy 为全部样本预测正确的比例；Balanced Accuracy 为实际出现类别的召回率均值；Macro-F1 为各计分类别 F1 等权均值；Weighted-F1 按真实类别样本数加权。分母为零时按代码设置取 0。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交叉验证在训练数据内部反复形成训练折和验证折，以验证分数比较候选模型。网格搜索枚举超参数组合，对每组计算同一交叉验证协议下的平均分，再以最佳参数在完整训练集重新拟合。测试集承担方法冻结后的最终评价；用测试分数反复调参会将测试信息反馈给方法设计。相关帧必须按约束组隔离，不能只依靠随机种子保证独立性。</w:t>
      </w:r>
    </w:p>
    <w:p>
      <w:pPr>
        <w:pStyle w:val="Heading1"/>
      </w:pPr>
      <w:r>
        <w:rPr>
          <w:rFonts w:ascii="Times New Roman" w:hAnsi="Times New Roman" w:eastAsia="黑体"/>
          <w:b/>
          <w:color w:val="000000"/>
          <w:sz w:val="32"/>
        </w:rPr>
        <w:t>3 实验设计与实现过程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3.1 数据获取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采集分为作者公开数据导入和自编网页爬虫两条路径。Drone-type-Set 公开目录实际取得 2,973 张原图及同名标注；VisioDECT 作者版本编目 20,924 张图像。程序只登记实际可取得的文件，不将论文中更大的名义数量作为已下载数量。第三方四类合成原图 8,001 张作为独立辅助材料。网页爬虫最终取得 179 张原图；其中清洗后的 135 张弱标签目标裁剪与 4 张身份参考单独交付，没有进入本次主监督训练和测试。早期日志中的 171 是采集过程快照，最终数量以交付回执为准。</w:t>
      </w:r>
    </w:p>
    <w:p>
      <w:pPr>
        <w:keepNext/>
        <w:ind w:firstLine="0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>表1 原始数据获取与使用角色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03"/>
        <w:gridCol w:w="2980"/>
        <w:gridCol w:w="3888"/>
      </w:tblGrid>
      <w:tr>
        <w:trPr>
          <w:cantSplit/>
          <w:tblHeader/>
        </w:trPr>
        <w:tc>
          <w:tcPr>
            <w:tcW w:type="dxa" w:w="2203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12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来源</w:t>
            </w:r>
          </w:p>
        </w:tc>
        <w:tc>
          <w:tcPr>
            <w:tcW w:type="dxa" w:w="298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12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原图数量</w:t>
            </w:r>
          </w:p>
        </w:tc>
        <w:tc>
          <w:tcPr>
            <w:tcW w:type="dxa" w:w="3888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12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本实验角色</w:t>
            </w:r>
          </w:p>
        </w:tc>
      </w:tr>
      <w:tr>
        <w:trPr>
          <w:cantSplit/>
        </w:trPr>
        <w:tc>
          <w:tcPr>
            <w:tcW w:type="dxa" w:w="2203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Drone-type-Set 作者目录</w:t>
            </w:r>
          </w:p>
        </w:tc>
        <w:tc>
          <w:tcPr>
            <w:tcW w:type="dxa" w:w="298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2973</w:t>
            </w:r>
          </w:p>
        </w:tc>
        <w:tc>
          <w:tcPr>
            <w:tcW w:type="dxa" w:w="3888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审核后七类 2,720 张进入主数据</w:t>
            </w:r>
          </w:p>
        </w:tc>
      </w:tr>
      <w:tr>
        <w:trPr>
          <w:cantSplit/>
        </w:trPr>
        <w:tc>
          <w:tcPr>
            <w:tcW w:type="dxa" w:w="2203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VisioDECT 作者版本</w:t>
            </w:r>
          </w:p>
        </w:tc>
        <w:tc>
          <w:tcPr>
            <w:tcW w:type="dxa" w:w="298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20924</w:t>
            </w:r>
          </w:p>
        </w:tc>
        <w:tc>
          <w:tcPr>
            <w:tcW w:type="dxa" w:w="3888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审核后五类 17,290 张进入主数据</w:t>
            </w:r>
          </w:p>
        </w:tc>
      </w:tr>
      <w:tr>
        <w:trPr>
          <w:cantSplit/>
        </w:trPr>
        <w:tc>
          <w:tcPr>
            <w:tcW w:type="dxa" w:w="2203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自编公开网页爬虫</w:t>
            </w:r>
          </w:p>
        </w:tc>
        <w:tc>
          <w:tcPr>
            <w:tcW w:type="dxa" w:w="298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179</w:t>
            </w:r>
          </w:p>
        </w:tc>
        <w:tc>
          <w:tcPr>
            <w:tcW w:type="dxa" w:w="3888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弱标签材料与身份参考，未参与主评估</w:t>
            </w:r>
          </w:p>
        </w:tc>
      </w:tr>
      <w:tr>
        <w:trPr>
          <w:cantSplit/>
        </w:trPr>
        <w:tc>
          <w:tcPr>
            <w:tcW w:type="dxa" w:w="2203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第三方四类合成数据</w:t>
            </w:r>
          </w:p>
        </w:tc>
        <w:tc>
          <w:tcPr>
            <w:tcW w:type="dxa" w:w="298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8001</w:t>
            </w:r>
          </w:p>
        </w:tc>
        <w:tc>
          <w:tcPr>
            <w:tcW w:type="dxa" w:w="3888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独立辅助实验，未合并主结果</w:t>
            </w:r>
          </w:p>
        </w:tc>
      </w:tr>
      <w:tr>
        <w:trPr>
          <w:cantSplit/>
        </w:trPr>
        <w:tc>
          <w:tcPr>
            <w:tcW w:type="dxa" w:w="2203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keepNext w:val="0"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原始总表</w:t>
            </w:r>
          </w:p>
        </w:tc>
        <w:tc>
          <w:tcPr>
            <w:tcW w:type="dxa" w:w="298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keepNext w:val="0"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32077</w:t>
            </w:r>
          </w:p>
        </w:tc>
        <w:tc>
          <w:tcPr>
            <w:tcW w:type="dxa" w:w="3888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keepNext w:val="0"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包含不同角色，不能等同训练集规模</w:t>
            </w:r>
          </w:p>
        </w:tc>
      </w:tr>
    </w:tbl>
    <w:p>
      <w:pPr>
        <w:spacing w:after="40" w:line="84" w:lineRule="auto"/>
        <w:ind w:firstLine="0"/>
      </w:pPr>
    </w:p>
    <w:p>
      <w:r>
        <w:rPr>
          <w:rFonts w:ascii="Times New Roman" w:hAnsi="Times New Roman" w:eastAsia="宋体"/>
          <w:b w:val="0"/>
          <w:color w:val="000000"/>
          <w:sz w:val="24"/>
        </w:rPr>
        <w:t>文章爬虫读取配置中的来源 URL、允许主机、正文选择器、标题关键词和候选类别。先检查 robots，再按请求间隔访问正文；保存 HTML 快照后提取 img 的 src、srcset、alt 和上下文图注，保留页面实际出现的链接。下载阶段只处理明确选中的媒体，记录原始字节哈希、时间和许可状态。Commons 采集器同时登记文件页、作者与许可信息。访问失败、标题不符、无效图片和未知许可分别记录，不依靠破解反爬获取数据。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原始 CSV 包含 sample_id、source_url、download_url、collected_at、sha256、candidate_label、title、description、caption、width、height、group_id、license_review 等字段。其中 ID 与哈希用于溯源，尺寸用于质量诊断，标签与分组需审核，标题和描述属于混杂文本，不能直接当数值送入模型。</w:t>
      </w:r>
    </w:p>
    <w:p>
      <w:pPr>
        <w:keepNext/>
        <w:ind w:firstLine="0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>表2 自采集原始记录示例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03"/>
        <w:gridCol w:w="2980"/>
        <w:gridCol w:w="3888"/>
      </w:tblGrid>
      <w:tr>
        <w:trPr>
          <w:cantSplit/>
          <w:tblHeader/>
        </w:trPr>
        <w:tc>
          <w:tcPr>
            <w:tcW w:type="dxa" w:w="2203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12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298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12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文章样例</w:t>
            </w:r>
          </w:p>
        </w:tc>
        <w:tc>
          <w:tcPr>
            <w:tcW w:type="dxa" w:w="3888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12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Commons 样例</w:t>
            </w:r>
          </w:p>
        </w:tc>
      </w:tr>
      <w:tr>
        <w:trPr>
          <w:cantSplit/>
        </w:trPr>
        <w:tc>
          <w:tcPr>
            <w:tcW w:type="dxa" w:w="2203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sample_id</w:t>
            </w:r>
          </w:p>
        </w:tc>
        <w:tc>
          <w:tcPr>
            <w:tcW w:type="dxa" w:w="298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dta_4feae19ca5e40e4d044f</w:t>
            </w:r>
          </w:p>
        </w:tc>
        <w:tc>
          <w:tcPr>
            <w:tcW w:type="dxa" w:w="3888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dte_e979f5fddecf1e4d92c4</w:t>
            </w:r>
          </w:p>
        </w:tc>
      </w:tr>
      <w:tr>
        <w:trPr>
          <w:cantSplit/>
        </w:trPr>
        <w:tc>
          <w:tcPr>
            <w:tcW w:type="dxa" w:w="2203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候选类别／原图尺寸</w:t>
            </w:r>
          </w:p>
        </w:tc>
        <w:tc>
          <w:tcPr>
            <w:tcW w:type="dxa" w:w="298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Mambo／1024×580</w:t>
            </w:r>
          </w:p>
        </w:tc>
        <w:tc>
          <w:tcPr>
            <w:tcW w:type="dxa" w:w="3888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Bebop／816×538</w:t>
            </w:r>
          </w:p>
        </w:tc>
      </w:tr>
      <w:tr>
        <w:trPr>
          <w:cantSplit/>
        </w:trPr>
        <w:tc>
          <w:tcPr>
            <w:tcW w:type="dxa" w:w="2203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网页标题</w:t>
            </w:r>
          </w:p>
        </w:tc>
        <w:tc>
          <w:tcPr>
            <w:tcW w:type="dxa" w:w="298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Ryze Tello vs Parrot Mambo: Which is the Best Micro Drone?</w:t>
            </w:r>
          </w:p>
        </w:tc>
        <w:tc>
          <w:tcPr>
            <w:tcW w:type="dxa" w:w="3888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File: Bebop Drone authorized flight over Paris Air Show.jpg</w:t>
            </w:r>
          </w:p>
        </w:tc>
      </w:tr>
      <w:tr>
        <w:trPr>
          <w:cantSplit/>
        </w:trPr>
        <w:tc>
          <w:tcPr>
            <w:tcW w:type="dxa" w:w="2203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图像文本线索</w:t>
            </w:r>
          </w:p>
        </w:tc>
        <w:tc>
          <w:tcPr>
            <w:tcW w:type="dxa" w:w="298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Top angle view of Parrot Mambo</w:t>
            </w:r>
          </w:p>
        </w:tc>
        <w:tc>
          <w:tcPr>
            <w:tcW w:type="dxa" w:w="3888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Parrot drone over Le Bourget Air Show</w:t>
            </w:r>
          </w:p>
        </w:tc>
      </w:tr>
      <w:tr>
        <w:trPr>
          <w:cantSplit/>
        </w:trPr>
        <w:tc>
          <w:tcPr>
            <w:tcW w:type="dxa" w:w="2203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keepNext w:val="0"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原始审核与许可状态</w:t>
            </w:r>
          </w:p>
        </w:tc>
        <w:tc>
          <w:tcPr>
            <w:tcW w:type="dxa" w:w="298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keepNext w:val="0"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候选待审／许可未核验</w:t>
            </w:r>
          </w:p>
        </w:tc>
        <w:tc>
          <w:tcPr>
            <w:tcW w:type="dxa" w:w="3888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keepNext w:val="0"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候选待审／文件页记载 CC BY-SA 4.0</w:t>
            </w:r>
          </w:p>
        </w:tc>
      </w:tr>
    </w:tbl>
    <w:p>
      <w:pPr>
        <w:spacing w:after="40" w:line="84" w:lineRule="auto"/>
        <w:ind w:firstLine="0"/>
      </w:pPr>
    </w:p>
    <w:p>
      <w:pPr>
        <w:ind w:firstLine="0"/>
      </w:pPr>
      <w:r>
        <w:rPr>
          <w:rFonts w:ascii="Times New Roman" w:hAnsi="Times New Roman" w:eastAsia="宋体"/>
          <w:b w:val="0"/>
          <w:color w:val="000000"/>
          <w:sz w:val="20"/>
        </w:rPr>
        <w:t>来源：文章样例来自 https://www.halfchrome.com/tello-vs-mambo/；原始 CSV 为 data/metadata/drone_type_article_raw.csv 和 drone_type_external_raw.csv。此处展示采集时记录，后续审核状态保存在独立决策表，不伪装为原始字段已自动确认。</w:t>
      </w:r>
    </w:p>
    <w:p>
      <w:pPr>
        <w:keepNext/>
        <w:ind w:firstLine="0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>代码1 robots 检查后的请求入口与文章正文解析节选</w:t>
      </w:r>
    </w:p>
    <w:p>
      <w:pPr>
        <w:keepLines/>
        <w:spacing w:line="247" w:lineRule="auto" w:before="60" w:after="120"/>
        <w:ind w:firstLine="0" w:left="142" w:right="57"/>
      </w:pPr>
      <w:r>
        <w:rPr>
          <w:rFonts w:ascii="Consolas" w:hAnsi="Consolas" w:eastAsia="宋体"/>
          <w:b w:val="0"/>
          <w:color w:val="000000"/>
          <w:sz w:val="16"/>
        </w:rPr>
        <w:t># src/uav_project/http_client.py 的 Web.get</w:t>
      </w:r>
      <w:r>
        <w:br/>
      </w:r>
      <w:r>
        <w:rPr>
          <w:rFonts w:ascii="Consolas" w:hAnsi="Consolas" w:eastAsia="宋体"/>
          <w:b w:val="0"/>
          <w:color w:val="000000"/>
          <w:sz w:val="16"/>
        </w:rPr>
        <w:t>def get(self, url, max_bytes=25_000_000):</w:t>
      </w:r>
      <w:r>
        <w:br/>
      </w:r>
      <w:r>
        <w:rPr>
          <w:rFonts w:ascii="Consolas" w:hAnsi="Consolas" w:eastAsia="宋体"/>
          <w:b w:val="0"/>
          <w:color w:val="000000"/>
          <w:sz w:val="16"/>
        </w:rPr>
        <w:t xml:space="preserve">    self.allowed(url)</w:t>
      </w:r>
      <w:r>
        <w:br/>
      </w:r>
      <w:r>
        <w:rPr>
          <w:rFonts w:ascii="Consolas" w:hAnsi="Consolas" w:eastAsia="宋体"/>
          <w:b w:val="0"/>
          <w:color w:val="000000"/>
          <w:sz w:val="16"/>
        </w:rPr>
        <w:t xml:space="preserve">    return self.raw(url, max_bytes)</w:t>
      </w:r>
    </w:p>
    <w:p>
      <w:pPr>
        <w:keepLines/>
        <w:spacing w:line="247" w:lineRule="auto" w:before="60" w:after="120"/>
        <w:ind w:firstLine="0" w:left="142" w:right="57"/>
      </w:pPr>
      <w:r>
        <w:rPr>
          <w:rFonts w:ascii="Consolas" w:hAnsi="Consolas" w:eastAsia="宋体"/>
          <w:b w:val="0"/>
          <w:color w:val="000000"/>
          <w:sz w:val="16"/>
        </w:rPr>
        <w:t>containers = soup.select(source['content_selector'])</w:t>
      </w:r>
      <w:r>
        <w:br/>
      </w:r>
      <w:r>
        <w:rPr>
          <w:rFonts w:ascii="Consolas" w:hAnsi="Consolas" w:eastAsia="宋体"/>
          <w:b w:val="0"/>
          <w:color w:val="000000"/>
          <w:sz w:val="16"/>
        </w:rPr>
        <w:t>if not containers:</w:t>
      </w:r>
      <w:r>
        <w:br/>
      </w:r>
      <w:r>
        <w:rPr>
          <w:rFonts w:ascii="Consolas" w:hAnsi="Consolas" w:eastAsia="宋体"/>
          <w:b w:val="0"/>
          <w:color w:val="000000"/>
          <w:sz w:val="16"/>
        </w:rPr>
        <w:t xml:space="preserve">    raise ValueError('Configured article-content selector found no content; preserve HTML: ' + snapshot)</w:t>
      </w:r>
      <w:r>
        <w:br/>
      </w:r>
      <w:r>
        <w:rPr>
          <w:rFonts w:ascii="Consolas" w:hAnsi="Consolas" w:eastAsia="宋体"/>
          <w:b w:val="0"/>
          <w:color w:val="000000"/>
          <w:sz w:val="16"/>
        </w:rPr>
        <w:t>title_node = soup.select_one(source.get('title_selector', 'h1'))</w:t>
      </w:r>
      <w:r>
        <w:br/>
      </w:r>
      <w:r>
        <w:rPr>
          <w:rFonts w:ascii="Consolas" w:hAnsi="Consolas" w:eastAsia="宋体"/>
          <w:b w:val="0"/>
          <w:color w:val="000000"/>
          <w:sz w:val="16"/>
        </w:rPr>
        <w:t>title = title_node.get_text(' ', strip=True) if title_node else ''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allowed 方法核验 HTTPS、来源白名单与 robots；raw 方法执行延时、重定向复核、流式大小上限和最多三次请求尝试。文章配置请求间隔为 2 秒，若站点给出更长 crawl-delay 则采用更长间隔。403 或无法确认 robots 时停止对应来源；原始下载重试和网页解析代码均保留在仓库。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3.2 数据预处理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缺失值按字段职责处理。缺失目标标签、缺失目标框或解码失败不能自动生成监督样本；保留为待审核或排除记录。group_id 不完整时不将未知图片随机分配到不同集合。标题、描述或许可字段为空时保持来源不确定性，禁止把空许可视为允许再分发。主实验清洗表的 width、height、gray_mean、gray_std、laplacian_variance_128 在训练集中的缺失数均为 0。target_short_side_pixels 属于早期来源的可选字段，并非所有来源填写；统一从实际裁剪宽高重新计算短边。</w:t>
      </w:r>
    </w:p>
    <w:p>
      <w:pPr>
        <w:keepNext/>
        <w:ind w:firstLine="0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>表3 训练集质量字段缺失统计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03"/>
        <w:gridCol w:w="2980"/>
        <w:gridCol w:w="3888"/>
      </w:tblGrid>
      <w:tr>
        <w:trPr>
          <w:cantSplit/>
          <w:tblHeader/>
        </w:trPr>
        <w:tc>
          <w:tcPr>
            <w:tcW w:type="dxa" w:w="2203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12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数值字段</w:t>
            </w:r>
          </w:p>
        </w:tc>
        <w:tc>
          <w:tcPr>
            <w:tcW w:type="dxa" w:w="298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12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样本数</w:t>
            </w:r>
          </w:p>
        </w:tc>
        <w:tc>
          <w:tcPr>
            <w:tcW w:type="dxa" w:w="3888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12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缺失数</w:t>
            </w:r>
          </w:p>
        </w:tc>
      </w:tr>
      <w:tr>
        <w:trPr>
          <w:cantSplit/>
        </w:trPr>
        <w:tc>
          <w:tcPr>
            <w:tcW w:type="dxa" w:w="2203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width</w:t>
            </w:r>
          </w:p>
        </w:tc>
        <w:tc>
          <w:tcPr>
            <w:tcW w:type="dxa" w:w="298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14106</w:t>
            </w:r>
          </w:p>
        </w:tc>
        <w:tc>
          <w:tcPr>
            <w:tcW w:type="dxa" w:w="3888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2203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height</w:t>
            </w:r>
          </w:p>
        </w:tc>
        <w:tc>
          <w:tcPr>
            <w:tcW w:type="dxa" w:w="298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14106</w:t>
            </w:r>
          </w:p>
        </w:tc>
        <w:tc>
          <w:tcPr>
            <w:tcW w:type="dxa" w:w="3888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2203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gray_mean</w:t>
            </w:r>
          </w:p>
        </w:tc>
        <w:tc>
          <w:tcPr>
            <w:tcW w:type="dxa" w:w="298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14106</w:t>
            </w:r>
          </w:p>
        </w:tc>
        <w:tc>
          <w:tcPr>
            <w:tcW w:type="dxa" w:w="3888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2203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gray_std</w:t>
            </w:r>
          </w:p>
        </w:tc>
        <w:tc>
          <w:tcPr>
            <w:tcW w:type="dxa" w:w="298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14106</w:t>
            </w:r>
          </w:p>
        </w:tc>
        <w:tc>
          <w:tcPr>
            <w:tcW w:type="dxa" w:w="3888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2203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keepNext w:val="0"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laplacian_variance_128</w:t>
            </w:r>
          </w:p>
        </w:tc>
        <w:tc>
          <w:tcPr>
            <w:tcW w:type="dxa" w:w="298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keepNext w:val="0"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14106</w:t>
            </w:r>
          </w:p>
        </w:tc>
        <w:tc>
          <w:tcPr>
            <w:tcW w:type="dxa" w:w="3888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keepNext w:val="0"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0</w:t>
            </w:r>
          </w:p>
        </w:tc>
      </w:tr>
    </w:tbl>
    <w:p>
      <w:pPr>
        <w:spacing w:after="40" w:line="84" w:lineRule="auto"/>
        <w:ind w:firstLine="0"/>
      </w:pPr>
    </w:p>
    <w:p>
      <w:r>
        <w:rPr>
          <w:rFonts w:ascii="Times New Roman" w:hAnsi="Times New Roman" w:eastAsia="宋体"/>
          <w:b w:val="0"/>
          <w:color w:val="000000"/>
          <w:sz w:val="24"/>
        </w:rPr>
        <w:t>清洗先核验原图字节哈希，将目标框的逗号分隔文本解析为四个有限浮点数，检查坐标方向、边界和面积，再按左上取 floor、右下取 ceil 生成 RGB 原生尺寸裁剪；保存后检查尺寸与像素一致性。对已存在的早期裁剪同时核对哈希和 RGB 像素，防止读取到不同版本。EXIF 方向不为 1 时停止该记录并要求核对坐标，而非盲目旋转后沿用旧框。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原七类排除 253 项，记录的原因包括烧录检测框与置信度、标题卡、字幕、画中画、错框、转场叠影及机身出画。扩展候选共 20,018 张，另排除 8 张无法辨认目标的裁剪，形成 20,010 张主清单。两次排除处于不同阶段，不应重复计数。文件夹仍可能保留历史排除文件，训练必须按清单读取。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文本处理采用 BeautifulSoup 提取正文与去除 HTML 标签，统一空白；类名通过固定映射转换为整数 y，框坐标解析为数值。标题、文件名、来源 ID 与网页描述不进入 X，防止模型从元数据猜标签。没有匹配的飞行日志，不编造飞行速度或传感器数值填充表格。</w:t>
      </w:r>
    </w:p>
    <w:p>
      <w:pPr>
        <w:keepNext/>
        <w:ind w:firstLine="0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>表4 原始图像与清洗裁剪对比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1872"/>
        <w:gridCol w:w="1872"/>
        <w:gridCol w:w="1440"/>
        <w:gridCol w:w="1440"/>
      </w:tblGrid>
      <w:tr>
        <w:trPr>
          <w:cantSplit/>
          <w:tblHeader/>
        </w:trPr>
        <w:tc>
          <w:tcPr>
            <w:tcW w:type="dxa" w:w="2448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12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类别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12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原始尺寸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12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目标框 xyxy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12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清洗尺寸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12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处理结果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Bebop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1280×720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269,212,1108,672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839×460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RGB 裁剪，像素核验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Bebop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1280×720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3,12,1280,519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1277×507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RGB 裁剪，像素核验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keepNext w:val="0"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DJI phantom 4 pro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keepNext w:val="0"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416×416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keepNext w:val="0"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177,222,192,241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keepNext w:val="0"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15×19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keepNext w:val="0"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短边小于 24，保留质量标记</w:t>
            </w:r>
          </w:p>
        </w:tc>
      </w:tr>
    </w:tbl>
    <w:p>
      <w:pPr>
        <w:spacing w:after="40" w:line="84" w:lineRule="auto"/>
        <w:ind w:firstLine="0"/>
      </w:pPr>
    </w:p>
    <w:p>
      <w:pPr>
        <w:keepNext/>
        <w:ind w:firstLine="0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>代码2 目标框文本解析与裁剪核心代码</w:t>
      </w:r>
    </w:p>
    <w:p>
      <w:pPr>
        <w:keepLines/>
        <w:spacing w:line="247" w:lineRule="auto" w:before="60" w:after="120"/>
        <w:ind w:firstLine="0" w:left="142" w:right="57"/>
      </w:pPr>
      <w:r>
        <w:rPr>
          <w:rFonts w:ascii="Consolas" w:hAnsi="Consolas" w:eastAsia="宋体"/>
          <w:b w:val="0"/>
          <w:color w:val="000000"/>
          <w:sz w:val="16"/>
        </w:rPr>
        <w:t>values = tuple(float(v) for v in item['target_box_xyxy'].split(','))</w:t>
      </w:r>
      <w:r>
        <w:br/>
      </w:r>
      <w:r>
        <w:rPr>
          <w:rFonts w:ascii="Consolas" w:hAnsi="Consolas" w:eastAsia="宋体"/>
          <w:b w:val="0"/>
          <w:color w:val="000000"/>
          <w:sz w:val="16"/>
        </w:rPr>
        <w:t>if len(values) != 4 or not all(math.isfinite(v) for v in values):</w:t>
      </w:r>
      <w:r>
        <w:br/>
      </w:r>
      <w:r>
        <w:rPr>
          <w:rFonts w:ascii="Consolas" w:hAnsi="Consolas" w:eastAsia="宋体"/>
          <w:b w:val="0"/>
          <w:color w:val="000000"/>
          <w:sz w:val="16"/>
        </w:rPr>
        <w:t xml:space="preserve">    raise ValueError('Invalid box: ' + item['sample_id'])</w:t>
      </w:r>
      <w:r>
        <w:br/>
      </w:r>
      <w:r>
        <w:rPr>
          <w:rFonts w:ascii="Consolas" w:hAnsi="Consolas" w:eastAsia="宋体"/>
          <w:b w:val="0"/>
          <w:color w:val="000000"/>
          <w:sz w:val="16"/>
        </w:rPr>
        <w:t>x1, y1, x2, y2 = values</w:t>
      </w:r>
      <w:r>
        <w:br/>
      </w:r>
      <w:r>
        <w:rPr>
          <w:rFonts w:ascii="Consolas" w:hAnsi="Consolas" w:eastAsia="宋体"/>
          <w:b w:val="0"/>
          <w:color w:val="000000"/>
          <w:sz w:val="16"/>
        </w:rPr>
        <w:t>if not (0 &lt;= x1 &lt; x2 &lt;= size[0] and 0 &lt;= y1 &lt; y2 &lt;= size[1]):</w:t>
      </w:r>
      <w:r>
        <w:br/>
      </w:r>
      <w:r>
        <w:rPr>
          <w:rFonts w:ascii="Consolas" w:hAnsi="Consolas" w:eastAsia="宋体"/>
          <w:b w:val="0"/>
          <w:color w:val="000000"/>
          <w:sz w:val="16"/>
        </w:rPr>
        <w:t xml:space="preserve">    raise ValueError('Out-of-bounds box: ' + item['sample_id'])</w:t>
      </w:r>
      <w:r>
        <w:br/>
      </w:r>
      <w:r>
        <w:rPr>
          <w:rFonts w:ascii="Consolas" w:hAnsi="Consolas" w:eastAsia="宋体"/>
          <w:b w:val="0"/>
          <w:color w:val="000000"/>
          <w:sz w:val="16"/>
        </w:rPr>
        <w:t>rect = (math.floor(x1), math.floor(y1), math.ceil(x2), math.ceil(y2))</w:t>
      </w:r>
      <w:r>
        <w:br/>
      </w:r>
      <w:r>
        <w:rPr>
          <w:rFonts w:ascii="Consolas" w:hAnsi="Consolas" w:eastAsia="宋体"/>
          <w:b w:val="0"/>
          <w:color w:val="000000"/>
          <w:sz w:val="16"/>
        </w:rPr>
        <w:t>rgb = source.convert('RGB')</w:t>
      </w:r>
      <w:r>
        <w:br/>
      </w:r>
      <w:r>
        <w:rPr>
          <w:rFonts w:ascii="Consolas" w:hAnsi="Consolas" w:eastAsia="宋体"/>
          <w:b w:val="0"/>
          <w:color w:val="000000"/>
          <w:sz w:val="16"/>
        </w:rPr>
        <w:t>crop = rgb.crop(rect)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对短边小于 24 像素的样本，当前代码添加 short_side_below_24 标记，没有自动删除。低对比度和大面积暗区也仅触发质量提示。质量标记不代表已完成专家逐图审核；本实验未执行全量可辨认性复核或按尺度筛选后重新训练。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3.3 特征工程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手工路径将裁剪转换到 128×128 计算特征，同时保留原生宽高比。HSV 三通道各含均值、标准差和 16 桶直方图，共 54 维；HOG 采用 9 个方向、16×16 像素单元、2×2 单元块，共 1,764 维；LBP 采用 8 邻点、半径 1、uniform 模式，共 10 维；灰度均值、灰度标准差和宽高比共 3 维。合计 1,831 维。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SigLIP2[2,6] 使用 google/siglip2-base-patch16-224 的冻结图像编码器，输出 768 维向量并进行 L2 归一化，模型 revision、处理器和推理精度在特征回执中固定。原生低分辨率图像即使被放大，也无法恢复真实机身细节。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标签采用固定的 0 至 11 整数编码，标签数值不表示大小或距离。输入不包含类别型表格特征，因此没有必要额外对机型标签做独热编码作为 X；监督目标 y 与输入 X 分开保存。文件名、URL、哈希、来源组与人工审核字段仅用于数据管理。训练集全量 X 的形状分别为 14,106×1,831 和 14,106×768，经过折内常量特征筛选后维数以相应模型的支持掩码为准。</w:t>
      </w:r>
    </w:p>
    <w:p>
      <w:pPr>
        <w:keepNext/>
        <w:ind w:firstLine="0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>代码3 折内填补 方差筛选与标准化流水线</w:t>
      </w:r>
    </w:p>
    <w:p>
      <w:pPr>
        <w:keepLines/>
        <w:spacing w:line="247" w:lineRule="auto" w:before="60" w:after="120"/>
        <w:ind w:firstLine="0" w:left="142" w:right="57"/>
      </w:pPr>
      <w:r>
        <w:rPr>
          <w:rFonts w:ascii="Consolas" w:hAnsi="Consolas" w:eastAsia="宋体"/>
          <w:b w:val="0"/>
          <w:color w:val="000000"/>
          <w:sz w:val="16"/>
        </w:rPr>
        <w:t>def pipe(model, scale=True):</w:t>
      </w:r>
      <w:r>
        <w:br/>
      </w:r>
      <w:r>
        <w:rPr>
          <w:rFonts w:ascii="Consolas" w:hAnsi="Consolas" w:eastAsia="宋体"/>
          <w:b w:val="0"/>
          <w:color w:val="000000"/>
          <w:sz w:val="16"/>
        </w:rPr>
        <w:t xml:space="preserve">    steps = [("impute", SimpleImputer(strategy="median")),</w:t>
      </w:r>
      <w:r>
        <w:br/>
      </w:r>
      <w:r>
        <w:rPr>
          <w:rFonts w:ascii="Consolas" w:hAnsi="Consolas" w:eastAsia="宋体"/>
          <w:b w:val="0"/>
          <w:color w:val="000000"/>
          <w:sz w:val="16"/>
        </w:rPr>
        <w:t xml:space="preserve">             ("variance", VarianceThreshold())]</w:t>
      </w:r>
      <w:r>
        <w:br/>
      </w:r>
      <w:r>
        <w:rPr>
          <w:rFonts w:ascii="Consolas" w:hAnsi="Consolas" w:eastAsia="宋体"/>
          <w:b w:val="0"/>
          <w:color w:val="000000"/>
          <w:sz w:val="16"/>
        </w:rPr>
        <w:t xml:space="preserve">    if scale:</w:t>
      </w:r>
      <w:r>
        <w:br/>
      </w:r>
      <w:r>
        <w:rPr>
          <w:rFonts w:ascii="Consolas" w:hAnsi="Consolas" w:eastAsia="宋体"/>
          <w:b w:val="0"/>
          <w:color w:val="000000"/>
          <w:sz w:val="16"/>
        </w:rPr>
        <w:t xml:space="preserve">        steps.append(("scale", StandardScaler()))</w:t>
      </w:r>
      <w:r>
        <w:br/>
      </w:r>
      <w:r>
        <w:rPr>
          <w:rFonts w:ascii="Consolas" w:hAnsi="Consolas" w:eastAsia="宋体"/>
          <w:b w:val="0"/>
          <w:color w:val="000000"/>
          <w:sz w:val="16"/>
        </w:rPr>
        <w:t xml:space="preserve">    return Pipeline(steps + [("model", model)])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该 Pipeline 在交叉验证时由每个训练折独立拟合；随机森林设置 scale=False，其他三类模型执行 StandardScaler。VarianceThreshold 使用默认阈值 0，只排除训练折内常量维度，不声称已通过相关性阈值删除全部冗余特征。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报告补充对已保存训练清单中质量字段的 Pearson 相关性分析：宽度与高度相关较高，宽高也与统一尺度下的拉普拉斯方差相关，提示目标尺度、构图和清晰度统计并非完全独立。此项为结果解释，不参与本次模型选择，也不把质量字段之间的相关性等同于 1,831 维全部特征的相关性。</w:t>
      </w:r>
    </w:p>
    <w:p>
      <w:pPr>
        <w:keepNext/>
        <w:ind w:firstLine="0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>表5 训练集部分质量字段相关系数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72"/>
        <w:gridCol w:w="6299"/>
      </w:tblGrid>
      <w:tr>
        <w:trPr>
          <w:cantSplit/>
          <w:tblHeader/>
        </w:trPr>
        <w:tc>
          <w:tcPr>
            <w:tcW w:type="dxa" w:w="2772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12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字段组合</w:t>
            </w:r>
          </w:p>
        </w:tc>
        <w:tc>
          <w:tcPr>
            <w:tcW w:type="dxa" w:w="6299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12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Pearson r</w:t>
            </w:r>
          </w:p>
        </w:tc>
      </w:tr>
      <w:tr>
        <w:trPr>
          <w:cantSplit/>
        </w:trPr>
        <w:tc>
          <w:tcPr>
            <w:tcW w:type="dxa" w:w="2772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宽度与高度</w:t>
            </w:r>
          </w:p>
        </w:tc>
        <w:tc>
          <w:tcPr>
            <w:tcW w:type="dxa" w:w="6299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0.9423</w:t>
            </w:r>
          </w:p>
        </w:tc>
      </w:tr>
      <w:tr>
        <w:trPr>
          <w:cantSplit/>
        </w:trPr>
        <w:tc>
          <w:tcPr>
            <w:tcW w:type="dxa" w:w="2772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宽度与拉普拉斯方差</w:t>
            </w:r>
          </w:p>
        </w:tc>
        <w:tc>
          <w:tcPr>
            <w:tcW w:type="dxa" w:w="6299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0.8502</w:t>
            </w:r>
          </w:p>
        </w:tc>
      </w:tr>
      <w:tr>
        <w:trPr>
          <w:cantSplit/>
        </w:trPr>
        <w:tc>
          <w:tcPr>
            <w:tcW w:type="dxa" w:w="2772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keepNext w:val="0"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高度与拉普拉斯方差</w:t>
            </w:r>
          </w:p>
        </w:tc>
        <w:tc>
          <w:tcPr>
            <w:tcW w:type="dxa" w:w="6299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keepNext w:val="0"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0.8505</w:t>
            </w:r>
          </w:p>
        </w:tc>
      </w:tr>
    </w:tbl>
    <w:p>
      <w:pPr>
        <w:spacing w:after="40" w:line="84" w:lineRule="auto"/>
        <w:ind w:firstLine="0"/>
      </w:pP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3.4 数据集划分与验证集用途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常见三类数据角色是：训练集拟合模型，验证集选择参数或检查点，测试集评价最终固定方案。本实验采用训练集内部交叉验证，因此不要求另存一份固定验证集。原代码把可用于训练和调参的 14,106 张称为 development，把保留到最后评价的 5,904 张称为 holdout。本报告统一称为训练集与测试集；为保持历史清单和哈希不变，CSV 与源码中的原英文取值保留，对应关系在附录说明。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按预先构造的场景与相似性约束组整体划分，以接近 30% 测试量为目标，最终训练／测试占比为 70.495%／29.505%，种子为 42。整组不可拆分，所以不是严格逐样本随机 7∶3。训练与测试的 group_id 集合无交集，但这些约束组尚未认证为真实独立飞行或独立拍摄来源，不能把组不重叠写成已证明外部独立。</w:t>
      </w:r>
    </w:p>
    <w:p>
      <w:pPr>
        <w:keepNext/>
        <w:ind w:firstLine="0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>表6 训练集内部的两折分组验证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16"/>
        <w:gridCol w:w="2766"/>
        <w:gridCol w:w="1930"/>
        <w:gridCol w:w="2059"/>
      </w:tblGrid>
      <w:tr>
        <w:trPr>
          <w:cantSplit/>
          <w:tblHeader/>
        </w:trPr>
        <w:tc>
          <w:tcPr>
            <w:tcW w:type="dxa" w:w="231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12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验证轮次</w:t>
            </w:r>
          </w:p>
        </w:tc>
        <w:tc>
          <w:tcPr>
            <w:tcW w:type="dxa" w:w="276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12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训练折样本</w:t>
            </w:r>
          </w:p>
        </w:tc>
        <w:tc>
          <w:tcPr>
            <w:tcW w:type="dxa" w:w="193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12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验证折样本</w:t>
            </w:r>
          </w:p>
        </w:tc>
        <w:tc>
          <w:tcPr>
            <w:tcW w:type="dxa" w:w="2059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12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类别覆盖规则</w:t>
            </w:r>
          </w:p>
        </w:tc>
      </w:tr>
      <w:tr>
        <w:trPr>
          <w:cantSplit/>
        </w:trPr>
        <w:tc>
          <w:tcPr>
            <w:tcW w:type="dxa" w:w="231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276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7826</w:t>
            </w:r>
          </w:p>
        </w:tc>
        <w:tc>
          <w:tcPr>
            <w:tcW w:type="dxa" w:w="193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6280</w:t>
            </w:r>
          </w:p>
        </w:tc>
        <w:tc>
          <w:tcPr>
            <w:tcW w:type="dxa" w:w="2059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6 类计分／12 类训练</w:t>
            </w:r>
          </w:p>
        </w:tc>
      </w:tr>
      <w:tr>
        <w:trPr>
          <w:cantSplit/>
        </w:trPr>
        <w:tc>
          <w:tcPr>
            <w:tcW w:type="dxa" w:w="231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keepNext w:val="0"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276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keepNext w:val="0"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8231</w:t>
            </w:r>
          </w:p>
        </w:tc>
        <w:tc>
          <w:tcPr>
            <w:tcW w:type="dxa" w:w="193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keepNext w:val="0"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5875</w:t>
            </w:r>
          </w:p>
        </w:tc>
        <w:tc>
          <w:tcPr>
            <w:tcW w:type="dxa" w:w="2059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keepNext w:val="0"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6 类计分／12 类训练</w:t>
            </w:r>
          </w:p>
        </w:tc>
      </w:tr>
    </w:tbl>
    <w:p>
      <w:pPr>
        <w:spacing w:after="40" w:line="84" w:lineRule="auto"/>
        <w:ind w:firstLine="0"/>
      </w:pPr>
    </w:p>
    <w:p>
      <w:r>
        <w:rPr>
          <w:rFonts w:ascii="Times New Roman" w:hAnsi="Times New Roman" w:eastAsia="宋体"/>
          <w:b w:val="0"/>
          <w:color w:val="000000"/>
          <w:sz w:val="24"/>
        </w:rPr>
        <w:t>验证折只对标签 2、7、8、9、10、11 共 6 类计算 Macro-F1，其余 6 类因训练集内只有一个约束组，始终留在每轮训练折中；各训练折仍包含全部 12 个标签。因此这是带有始终训练样本的两折分组验证，不能说每张样本都轮流做过验证，也不能把验证分数称为完整十二类交叉验证成绩。传统模型选参结束后在全部 14,106 张训练样本上重新拟合。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Qwen 两个 LoRA 版本都在全部训练集上按预设参数训练一轮，没有另设固定验证集，没有验证损失选检查点或验证早停。测试集在模型、参数、提示词与协议冻结后评价，未用于这次选参。没有独立验证集是本次大模型实验的局限，不能在报告阶段补写成做过三集划分。未来如需早停或比较更多 LoRA 方案，应先在训练组内设定验证组，再用新的独立测试版本评价。</w:t>
      </w:r>
    </w:p>
    <w:p>
      <w:pPr>
        <w:keepNext/>
        <w:spacing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3817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2_data_protoco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817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图2 数据构建与评价协议。自采弱标签与合成辅助材料独立登记；主清单按约束组划分训练和测试。图中原图与目标裁剪是不同计数单位。</w:t>
      </w:r>
    </w:p>
    <w:p>
      <w:pPr>
        <w:keepNext/>
        <w:ind w:firstLine="0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>代码4 按组构造训练折与验证折节选</w:t>
      </w:r>
    </w:p>
    <w:p>
      <w:pPr>
        <w:keepLines/>
        <w:spacing w:line="247" w:lineRule="auto" w:before="60" w:after="120"/>
        <w:ind w:firstLine="0" w:left="142" w:right="57"/>
      </w:pPr>
      <w:r>
        <w:rPr>
          <w:rFonts w:ascii="Consolas" w:hAnsi="Consolas" w:eastAsia="宋体"/>
          <w:b w:val="0"/>
          <w:color w:val="000000"/>
          <w:sz w:val="16"/>
        </w:rPr>
        <w:t>for fold in protocol["folds"]:</w:t>
      </w:r>
      <w:r>
        <w:br/>
      </w:r>
      <w:r>
        <w:rPr>
          <w:rFonts w:ascii="Consolas" w:hAnsi="Consolas" w:eastAsia="宋体"/>
          <w:b w:val="0"/>
          <w:color w:val="000000"/>
          <w:sz w:val="16"/>
        </w:rPr>
        <w:t xml:space="preserve">    validation_groups = set(fold["validation_group_ids"])</w:t>
      </w:r>
      <w:r>
        <w:br/>
      </w:r>
      <w:r>
        <w:rPr>
          <w:rFonts w:ascii="Consolas" w:hAnsi="Consolas" w:eastAsia="宋体"/>
          <w:b w:val="0"/>
          <w:color w:val="000000"/>
          <w:sz w:val="16"/>
        </w:rPr>
        <w:t xml:space="preserve">    val_mask = development.group_id.isin(validation_groups).to_numpy()</w:t>
      </w:r>
      <w:r>
        <w:br/>
      </w:r>
      <w:r>
        <w:rPr>
          <w:rFonts w:ascii="Consolas" w:hAnsi="Consolas" w:eastAsia="宋体"/>
          <w:b w:val="0"/>
          <w:color w:val="000000"/>
          <w:sz w:val="16"/>
        </w:rPr>
        <w:t xml:space="preserve">    train_idx, val_idx = np.flatnonzero(~val_mask), np.flatnonzero(val_mask)</w:t>
      </w:r>
      <w:r>
        <w:br/>
      </w:r>
      <w:r>
        <w:rPr>
          <w:rFonts w:ascii="Consolas" w:hAnsi="Consolas" w:eastAsia="宋体"/>
          <w:b w:val="0"/>
          <w:color w:val="000000"/>
          <w:sz w:val="16"/>
        </w:rPr>
        <w:t xml:space="preserve">    if not len(train_idx) or not len(val_idx):</w:t>
      </w:r>
      <w:r>
        <w:br/>
      </w:r>
      <w:r>
        <w:rPr>
          <w:rFonts w:ascii="Consolas" w:hAnsi="Consolas" w:eastAsia="宋体"/>
          <w:b w:val="0"/>
          <w:color w:val="000000"/>
          <w:sz w:val="16"/>
        </w:rPr>
        <w:t xml:space="preserve">        raise ValueError(f"Empty group CV fold {fold['fold']}")</w:t>
      </w:r>
      <w:r>
        <w:br/>
      </w:r>
      <w:r>
        <w:rPr>
          <w:rFonts w:ascii="Consolas" w:hAnsi="Consolas" w:eastAsia="宋体"/>
          <w:b w:val="0"/>
          <w:color w:val="000000"/>
          <w:sz w:val="16"/>
        </w:rPr>
        <w:t xml:space="preserve">    train_groups = set(development.iloc[train_idx].group_id)</w:t>
      </w:r>
      <w:r>
        <w:br/>
      </w:r>
      <w:r>
        <w:rPr>
          <w:rFonts w:ascii="Consolas" w:hAnsi="Consolas" w:eastAsia="宋体"/>
          <w:b w:val="0"/>
          <w:color w:val="000000"/>
          <w:sz w:val="16"/>
        </w:rPr>
        <w:t xml:space="preserve">    val_groups = set(development.iloc[val_idx].group_id)</w:t>
      </w:r>
      <w:r>
        <w:br/>
      </w:r>
      <w:r>
        <w:rPr>
          <w:rFonts w:ascii="Consolas" w:hAnsi="Consolas" w:eastAsia="宋体"/>
          <w:b w:val="0"/>
          <w:color w:val="000000"/>
          <w:sz w:val="16"/>
        </w:rPr>
        <w:t xml:space="preserve">    if train_groups &amp; val_groups or set(development.iloc[train_idx].label) != set(range(12)):</w:t>
      </w:r>
      <w:r>
        <w:br/>
      </w:r>
      <w:r>
        <w:rPr>
          <w:rFonts w:ascii="Consolas" w:hAnsi="Consolas" w:eastAsia="宋体"/>
          <w:b w:val="0"/>
          <w:color w:val="000000"/>
          <w:sz w:val="16"/>
        </w:rPr>
        <w:t xml:space="preserve">        raise ValueError(f"Group leak or missing training labels in fold {fold['fold']}")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泄露防护包括：相关样本整体分组，训练折内拟合预处理器，测试特征只在最终评价阶段生成；超参数依据训练内部验证分数；固定数据清单、代码哈希、模型与提示词；续跑时核验同一冻结版本和预测前缀。中断后恢复已冻结测试推理不等于重新调参。测试成绩已经公开后，再根据错误案例优化方法，应视为新实验并使用新独立测试数据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3.5 多模型训练与参数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两种表示各训练四个基础分类器，分别构成八组传统基线；每种表示再对验证最优的模型族执行一次网格搜索，形成两组调优结果。Qwen 零样本、标准 LoRA 与加权 LoRA 共三组，合计十三组。模型使用相同主数据版本和测试样本，不将早期合成集的高准确率放到本表比较。</w:t>
      </w:r>
    </w:p>
    <w:p>
      <w:pPr>
        <w:keepNext/>
        <w:ind w:firstLine="0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>表7 传统模型基础参数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03"/>
        <w:gridCol w:w="2980"/>
        <w:gridCol w:w="3888"/>
      </w:tblGrid>
      <w:tr>
        <w:trPr>
          <w:cantSplit/>
          <w:tblHeader/>
        </w:trPr>
        <w:tc>
          <w:tcPr>
            <w:tcW w:type="dxa" w:w="2203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12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模型</w:t>
            </w:r>
          </w:p>
        </w:tc>
        <w:tc>
          <w:tcPr>
            <w:tcW w:type="dxa" w:w="298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12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关键参数</w:t>
            </w:r>
          </w:p>
        </w:tc>
        <w:tc>
          <w:tcPr>
            <w:tcW w:type="dxa" w:w="3888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12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预处理与用途</w:t>
            </w:r>
          </w:p>
        </w:tc>
      </w:tr>
      <w:tr>
        <w:trPr>
          <w:cantSplit/>
        </w:trPr>
        <w:tc>
          <w:tcPr>
            <w:tcW w:type="dxa" w:w="2203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逻辑回归</w:t>
            </w:r>
          </w:p>
        </w:tc>
        <w:tc>
          <w:tcPr>
            <w:tcW w:type="dxa" w:w="298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max_iter=3000；class_weight=balanced；seed=42</w:t>
            </w:r>
          </w:p>
        </w:tc>
        <w:tc>
          <w:tcPr>
            <w:tcW w:type="dxa" w:w="3888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中位数填补＋去常量＋标准化</w:t>
            </w:r>
          </w:p>
        </w:tc>
      </w:tr>
      <w:tr>
        <w:trPr>
          <w:cantSplit/>
        </w:trPr>
        <w:tc>
          <w:tcPr>
            <w:tcW w:type="dxa" w:w="2203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KNN</w:t>
            </w:r>
          </w:p>
        </w:tc>
        <w:tc>
          <w:tcPr>
            <w:tcW w:type="dxa" w:w="298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n_neighbors=5；weights=uniform；p=2</w:t>
            </w:r>
          </w:p>
        </w:tc>
        <w:tc>
          <w:tcPr>
            <w:tcW w:type="dxa" w:w="3888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中位数填补＋去常量＋标准化</w:t>
            </w:r>
          </w:p>
        </w:tc>
      </w:tr>
      <w:tr>
        <w:trPr>
          <w:cantSplit/>
        </w:trPr>
        <w:tc>
          <w:tcPr>
            <w:tcW w:type="dxa" w:w="2203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RBF-SVM</w:t>
            </w:r>
          </w:p>
        </w:tc>
        <w:tc>
          <w:tcPr>
            <w:tcW w:type="dxa" w:w="298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C=1；gamma=scale；class_weight=balanced；ovr</w:t>
            </w:r>
          </w:p>
        </w:tc>
        <w:tc>
          <w:tcPr>
            <w:tcW w:type="dxa" w:w="3888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中位数填补＋去常量＋标准化</w:t>
            </w:r>
          </w:p>
        </w:tc>
      </w:tr>
      <w:tr>
        <w:trPr>
          <w:cantSplit/>
        </w:trPr>
        <w:tc>
          <w:tcPr>
            <w:tcW w:type="dxa" w:w="2203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keepNext w:val="0"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随机森林</w:t>
            </w:r>
          </w:p>
        </w:tc>
        <w:tc>
          <w:tcPr>
            <w:tcW w:type="dxa" w:w="298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keepNext w:val="0"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300 棵树；class_weight=balanced；n_jobs=1；seed=42</w:t>
            </w:r>
          </w:p>
        </w:tc>
        <w:tc>
          <w:tcPr>
            <w:tcW w:type="dxa" w:w="3888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keepNext w:val="0"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中位数填补＋去常量；不标准化</w:t>
            </w:r>
          </w:p>
        </w:tc>
      </w:tr>
    </w:tbl>
    <w:p>
      <w:pPr>
        <w:spacing w:after="40" w:line="84" w:lineRule="auto"/>
        <w:ind w:firstLine="0"/>
      </w:pPr>
    </w:p>
    <w:p>
      <w:pPr>
        <w:keepNext/>
        <w:ind w:firstLine="0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>代码5 基础模型的交叉验证与最终训练节选</w:t>
      </w:r>
    </w:p>
    <w:p>
      <w:pPr>
        <w:keepLines/>
        <w:spacing w:line="247" w:lineRule="auto" w:before="60" w:after="120"/>
        <w:ind w:firstLine="0" w:left="142" w:right="57"/>
      </w:pPr>
      <w:r>
        <w:rPr>
          <w:rFonts w:ascii="Consolas" w:hAnsi="Consolas" w:eastAsia="宋体"/>
          <w:b w:val="0"/>
          <w:color w:val="000000"/>
          <w:sz w:val="16"/>
        </w:rPr>
        <w:t>scores = cross_val_score(estimator, X, y, cv=cv, scoring=scorer, n_jobs=jobs, error_score="raise")</w:t>
      </w:r>
      <w:r>
        <w:br/>
      </w:r>
      <w:r>
        <w:rPr>
          <w:rFonts w:ascii="Consolas" w:hAnsi="Consolas" w:eastAsia="宋体"/>
          <w:b w:val="0"/>
          <w:color w:val="000000"/>
          <w:sz w:val="16"/>
        </w:rPr>
        <w:t>estimator.fit(X, y)</w:t>
      </w:r>
      <w:r>
        <w:br/>
      </w:r>
      <w:r>
        <w:rPr>
          <w:rFonts w:ascii="Consolas" w:hAnsi="Consolas" w:eastAsia="宋体"/>
          <w:b w:val="0"/>
          <w:color w:val="000000"/>
          <w:sz w:val="16"/>
        </w:rPr>
        <w:t>joblib.dump(estimator, model_path, compress=3)</w:t>
      </w:r>
      <w:r>
        <w:br/>
      </w:r>
      <w:r>
        <w:rPr>
          <w:rFonts w:ascii="Consolas" w:hAnsi="Consolas" w:eastAsia="宋体"/>
          <w:b w:val="0"/>
          <w:color w:val="000000"/>
          <w:sz w:val="16"/>
        </w:rPr>
        <w:t>train_report = classification_report(y, estimator.predict(X), labels=list(range(12)),</w:t>
      </w:r>
      <w:r>
        <w:br/>
      </w:r>
      <w:r>
        <w:rPr>
          <w:rFonts w:ascii="Consolas" w:hAnsi="Consolas" w:eastAsia="宋体"/>
          <w:b w:val="0"/>
          <w:color w:val="000000"/>
          <w:sz w:val="16"/>
        </w:rPr>
        <w:t xml:space="preserve">    target_names=protocol["classes"], output_dict=True, zero_division=0)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Qwen 采用 4-bit NF4、float16，图像像素范围 50,176 至 150,528，输入最大长度 1,024，最多生成 8 个新 token；LoRA r=8、alpha=16、dropout=0.05，学习率 1×10⁻⁵，weight_decay=0.01，warmup_ratio=0.03。每设备 batch=1，梯度累积 8，启用梯度检查点；每个版本训练 1 epoch，回执记录各 1,764 个优化步。适配目标为语言侧 q_proj、k_proj、v_proj、o_proj、gate_proj、up_proj、down_proj，视觉模块不训练。两个版本只在预先声明的样本损失权重上不同，并非训练后依测试集选择加权方案。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3.6 评价实现与网格搜索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先在相同训练内分组折上按支持六类的平均 Macro-F1 选择模型族。两种表示实际选中 KNN，随后只搜索 n_neighbors∈{3,5,9,15}、weights∈{uniform,distance}，共 8 组参数，每种表示执行 16 次验证拟合，再以最佳参数全训练集 refit。两者均选中 n_neighbors=3、weights=distance。源码为其他分类器保留的参数网格不代表本次也全部执行过。</w:t>
      </w:r>
    </w:p>
    <w:p>
      <w:pPr>
        <w:keepNext/>
        <w:ind w:firstLine="0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>代码6 网格搜索实现节选</w:t>
      </w:r>
    </w:p>
    <w:p>
      <w:pPr>
        <w:keepLines/>
        <w:spacing w:line="247" w:lineRule="auto" w:before="60" w:after="120"/>
        <w:ind w:firstLine="0" w:left="142" w:right="57"/>
      </w:pPr>
      <w:r>
        <w:rPr>
          <w:rFonts w:ascii="Consolas" w:hAnsi="Consolas" w:eastAsia="宋体"/>
          <w:b w:val="0"/>
          <w:color w:val="000000"/>
          <w:sz w:val="16"/>
        </w:rPr>
        <w:t>grid = GridSearchCV(candidates[selected], grids[selected], cv=cv, scoring=scorer,</w:t>
      </w:r>
      <w:r>
        <w:br/>
      </w:r>
      <w:r>
        <w:rPr>
          <w:rFonts w:ascii="Consolas" w:hAnsi="Consolas" w:eastAsia="宋体"/>
          <w:b w:val="0"/>
          <w:color w:val="000000"/>
          <w:sz w:val="16"/>
        </w:rPr>
        <w:t xml:space="preserve">                    n_jobs=jobs, refit=True, error_score="raise", return_train_score=True)</w:t>
      </w:r>
      <w:r>
        <w:br/>
      </w:r>
      <w:r>
        <w:rPr>
          <w:rFonts w:ascii="Consolas" w:hAnsi="Consolas" w:eastAsia="宋体"/>
          <w:b w:val="0"/>
          <w:color w:val="000000"/>
          <w:sz w:val="16"/>
        </w:rPr>
        <w:t>grid.fit(X, y)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scorer 使用 f1_score 的 labels=[2,7,8,9,10,11]、average='macro' 和 zero_division=0。模型族选择和调参共用同一组验证折，没有嵌套交叉验证，最优验证分数可能偏乐观。预先按交叉验证选中的传统模型是 SigLIP2＋调优 KNN；最终测试中手工特征更好属于观察结果，不能倒过来声称它在测试前已被选为最优。主研究方法 Qwen 标准 LoRA 是预先声明的方法，不因测试低分改名替换。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最终测试有真实样本的类别为 2、3、6、7、8、9、10、11 共 8 类，正文 Macro-F1 明确对这八类计分，另保存全十二标签口径。预测成测试中没有真实样本的类别仍会造成真类漏判，未从准确率中删除。缺失的四类测试支持数为 0，不能用把它们的 F1 设零来证明这些类别的真实泛化能力。</w:t>
      </w:r>
    </w:p>
    <w:p>
      <w:pPr>
        <w:keepNext/>
        <w:ind w:firstLine="0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>代码7 测试指标的实际实现节选</w:t>
      </w:r>
    </w:p>
    <w:p>
      <w:pPr>
        <w:keepLines/>
        <w:spacing w:line="247" w:lineRule="auto" w:before="60" w:after="120"/>
        <w:ind w:firstLine="0" w:left="142" w:right="57"/>
      </w:pPr>
      <w:r>
        <w:rPr>
          <w:rFonts w:ascii="Consolas" w:hAnsi="Consolas" w:eastAsia="宋体"/>
          <w:b w:val="0"/>
          <w:color w:val="000000"/>
          <w:sz w:val="16"/>
        </w:rPr>
        <w:t>supported_macro = float(f1_score(truth, prediction, labels=present, average="macro", zero_division=0))</w:t>
      </w:r>
      <w:r>
        <w:br/>
      </w:r>
      <w:r>
        <w:rPr>
          <w:rFonts w:ascii="Consolas" w:hAnsi="Consolas" w:eastAsia="宋体"/>
          <w:b w:val="0"/>
          <w:color w:val="000000"/>
          <w:sz w:val="16"/>
        </w:rPr>
        <w:t>return {"samples": int(len(frame)), "labels_present": present,</w:t>
      </w:r>
      <w:r>
        <w:br/>
      </w:r>
      <w:r>
        <w:rPr>
          <w:rFonts w:ascii="Consolas" w:hAnsi="Consolas" w:eastAsia="宋体"/>
          <w:b w:val="0"/>
          <w:color w:val="000000"/>
          <w:sz w:val="16"/>
        </w:rPr>
        <w:t xml:space="preserve">    "class_names_present": [protocol["classes"][index] for index in present],</w:t>
      </w:r>
      <w:r>
        <w:br/>
      </w:r>
      <w:r>
        <w:rPr>
          <w:rFonts w:ascii="Consolas" w:hAnsi="Consolas" w:eastAsia="宋体"/>
          <w:b w:val="0"/>
          <w:color w:val="000000"/>
          <w:sz w:val="16"/>
        </w:rPr>
        <w:t xml:space="preserve">    "accuracy": float(accuracy_score(truth, prediction)),</w:t>
      </w:r>
      <w:r>
        <w:br/>
      </w:r>
      <w:r>
        <w:rPr>
          <w:rFonts w:ascii="Consolas" w:hAnsi="Consolas" w:eastAsia="宋体"/>
          <w:b w:val="0"/>
          <w:color w:val="000000"/>
          <w:sz w:val="16"/>
        </w:rPr>
        <w:t xml:space="preserve">    "balanced_accuracy_present_labels": float(balanced_accuracy_score(truth, prediction)),</w:t>
      </w:r>
      <w:r>
        <w:br/>
      </w:r>
      <w:r>
        <w:rPr>
          <w:rFonts w:ascii="Consolas" w:hAnsi="Consolas" w:eastAsia="宋体"/>
          <w:b w:val="0"/>
          <w:color w:val="000000"/>
          <w:sz w:val="16"/>
        </w:rPr>
        <w:t xml:space="preserve">    "macro_f1_supported_labels": supported_macro,</w:t>
      </w:r>
      <w:r>
        <w:br/>
      </w:r>
      <w:r>
        <w:rPr>
          <w:rFonts w:ascii="Consolas" w:hAnsi="Consolas" w:eastAsia="宋体"/>
          <w:b w:val="0"/>
          <w:color w:val="000000"/>
          <w:sz w:val="16"/>
        </w:rPr>
        <w:t xml:space="preserve">    "macro_f1_all_12_labels": float(f1_score(truth, prediction, labels=all_labels,</w:t>
      </w:r>
      <w:r>
        <w:br/>
      </w:r>
      <w:r>
        <w:rPr>
          <w:rFonts w:ascii="Consolas" w:hAnsi="Consolas" w:eastAsia="宋体"/>
          <w:b w:val="0"/>
          <w:color w:val="000000"/>
          <w:sz w:val="16"/>
        </w:rPr>
        <w:t xml:space="preserve">                                              average="macro", zero_division=0)),</w:t>
      </w:r>
      <w:r>
        <w:br/>
      </w:r>
      <w:r>
        <w:rPr>
          <w:rFonts w:ascii="Consolas" w:hAnsi="Consolas" w:eastAsia="宋体"/>
          <w:b w:val="0"/>
          <w:color w:val="000000"/>
          <w:sz w:val="16"/>
        </w:rPr>
        <w:t xml:space="preserve">    "weighted_f1": float(f1_score(truth, prediction, labels=all_labels,</w:t>
      </w:r>
      <w:r>
        <w:br/>
      </w:r>
      <w:r>
        <w:rPr>
          <w:rFonts w:ascii="Consolas" w:hAnsi="Consolas" w:eastAsia="宋体"/>
          <w:b w:val="0"/>
          <w:color w:val="000000"/>
          <w:sz w:val="16"/>
        </w:rPr>
        <w:t xml:space="preserve">                                   average="weighted", zero_division=0)),</w:t>
      </w:r>
      <w:r>
        <w:br/>
      </w:r>
      <w:r>
        <w:rPr>
          <w:rFonts w:ascii="Consolas" w:hAnsi="Consolas" w:eastAsia="宋体"/>
          <w:b w:val="0"/>
          <w:color w:val="000000"/>
          <w:sz w:val="16"/>
        </w:rPr>
        <w:t xml:space="preserve">    "invalid_prediction_rate": invalid,</w:t>
      </w:r>
      <w:r>
        <w:br/>
      </w:r>
      <w:r>
        <w:rPr>
          <w:rFonts w:ascii="Consolas" w:hAnsi="Consolas" w:eastAsia="宋体"/>
          <w:b w:val="0"/>
          <w:color w:val="000000"/>
          <w:sz w:val="16"/>
        </w:rPr>
        <w:t xml:space="preserve">    "classification_report": report,</w:t>
      </w:r>
      <w:r>
        <w:br/>
      </w:r>
      <w:r>
        <w:rPr>
          <w:rFonts w:ascii="Consolas" w:hAnsi="Consolas" w:eastAsia="宋体"/>
          <w:b w:val="0"/>
          <w:color w:val="000000"/>
          <w:sz w:val="16"/>
        </w:rPr>
        <w:t xml:space="preserve">    "confusion_matrix_all_12": confusion_matrix(truth, prediction, labels=all_labels).tolist(),</w:t>
      </w:r>
      <w:r>
        <w:br/>
      </w:r>
      <w:r>
        <w:rPr>
          <w:rFonts w:ascii="Consolas" w:hAnsi="Consolas" w:eastAsia="宋体"/>
          <w:b w:val="0"/>
          <w:color w:val="000000"/>
          <w:sz w:val="16"/>
        </w:rPr>
        <w:t xml:space="preserve">    "confusion_matrix_with_invalid": confusion_matrix(truth, prediction, labels=all_labels + [-1]).tolist()}</w:t>
      </w:r>
    </w:p>
    <w:p>
      <w:pPr>
        <w:pStyle w:val="Heading1"/>
      </w:pPr>
      <w:r>
        <w:rPr>
          <w:rFonts w:ascii="Times New Roman" w:hAnsi="Times New Roman" w:eastAsia="黑体"/>
          <w:b/>
          <w:color w:val="000000"/>
          <w:sz w:val="32"/>
        </w:rPr>
        <w:t>4 实验结果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4.1 数据集统计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20,010 张主样本由原七类的 2,720 张和新增五类的 17,290 张构成。训练集覆盖 12 类，测试集覆盖 8 类；类别数量不平衡，最少类只有 67 张。下表同时报告每类的训练、测试与约束组数量，避免只用总样本量掩盖独立组不足。</w:t>
      </w:r>
    </w:p>
    <w:p>
      <w:pPr>
        <w:keepNext/>
        <w:ind w:firstLine="0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>表8 类别与训练测试分布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14"/>
        <w:gridCol w:w="2558"/>
        <w:gridCol w:w="1279"/>
        <w:gridCol w:w="1512"/>
        <w:gridCol w:w="1512"/>
        <w:gridCol w:w="1396"/>
      </w:tblGrid>
      <w:tr>
        <w:trPr>
          <w:cantSplit/>
          <w:tblHeader/>
        </w:trPr>
        <w:tc>
          <w:tcPr>
            <w:tcW w:type="dxa" w:w="814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12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标签</w:t>
            </w:r>
          </w:p>
        </w:tc>
        <w:tc>
          <w:tcPr>
            <w:tcW w:type="dxa" w:w="2558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12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作者类别名</w:t>
            </w:r>
          </w:p>
        </w:tc>
        <w:tc>
          <w:tcPr>
            <w:tcW w:type="dxa" w:w="1279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12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总数</w:t>
            </w:r>
          </w:p>
        </w:tc>
        <w:tc>
          <w:tcPr>
            <w:tcW w:type="dxa" w:w="1512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12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训练集</w:t>
            </w:r>
          </w:p>
        </w:tc>
        <w:tc>
          <w:tcPr>
            <w:tcW w:type="dxa" w:w="1512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12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测试集</w:t>
            </w:r>
          </w:p>
        </w:tc>
        <w:tc>
          <w:tcPr>
            <w:tcW w:type="dxa" w:w="139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12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约束组</w:t>
            </w:r>
          </w:p>
        </w:tc>
      </w:tr>
      <w:tr>
        <w:trPr>
          <w:cantSplit/>
        </w:trPr>
        <w:tc>
          <w:tcPr>
            <w:tcW w:type="dxa" w:w="814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</w:t>
            </w:r>
          </w:p>
        </w:tc>
        <w:tc>
          <w:tcPr>
            <w:tcW w:type="dxa" w:w="2558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Bebop</w:t>
            </w:r>
          </w:p>
        </w:tc>
        <w:tc>
          <w:tcPr>
            <w:tcW w:type="dxa" w:w="1279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447</w:t>
            </w:r>
          </w:p>
        </w:tc>
        <w:tc>
          <w:tcPr>
            <w:tcW w:type="dxa" w:w="1512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447</w:t>
            </w:r>
          </w:p>
        </w:tc>
        <w:tc>
          <w:tcPr>
            <w:tcW w:type="dxa" w:w="1512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</w:t>
            </w:r>
          </w:p>
        </w:tc>
        <w:tc>
          <w:tcPr>
            <w:tcW w:type="dxa" w:w="139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814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558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DJI phantom 3</w:t>
            </w:r>
          </w:p>
        </w:tc>
        <w:tc>
          <w:tcPr>
            <w:tcW w:type="dxa" w:w="1279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67</w:t>
            </w:r>
          </w:p>
        </w:tc>
        <w:tc>
          <w:tcPr>
            <w:tcW w:type="dxa" w:w="1512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67</w:t>
            </w:r>
          </w:p>
        </w:tc>
        <w:tc>
          <w:tcPr>
            <w:tcW w:type="dxa" w:w="1512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</w:t>
            </w:r>
          </w:p>
        </w:tc>
        <w:tc>
          <w:tcPr>
            <w:tcW w:type="dxa" w:w="139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814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2558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DJI phantom 4 pro</w:t>
            </w:r>
          </w:p>
        </w:tc>
        <w:tc>
          <w:tcPr>
            <w:tcW w:type="dxa" w:w="1279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572</w:t>
            </w:r>
          </w:p>
        </w:tc>
        <w:tc>
          <w:tcPr>
            <w:tcW w:type="dxa" w:w="1512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370</w:t>
            </w:r>
          </w:p>
        </w:tc>
        <w:tc>
          <w:tcPr>
            <w:tcW w:type="dxa" w:w="1512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202</w:t>
            </w:r>
          </w:p>
        </w:tc>
        <w:tc>
          <w:tcPr>
            <w:tcW w:type="dxa" w:w="139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</w:t>
            </w:r>
          </w:p>
        </w:tc>
      </w:tr>
      <w:tr>
        <w:trPr>
          <w:cantSplit/>
        </w:trPr>
        <w:tc>
          <w:tcPr>
            <w:tcW w:type="dxa" w:w="814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2558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Emax</w:t>
            </w:r>
          </w:p>
        </w:tc>
        <w:tc>
          <w:tcPr>
            <w:tcW w:type="dxa" w:w="1279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329</w:t>
            </w:r>
          </w:p>
        </w:tc>
        <w:tc>
          <w:tcPr>
            <w:tcW w:type="dxa" w:w="1512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207</w:t>
            </w:r>
          </w:p>
        </w:tc>
        <w:tc>
          <w:tcPr>
            <w:tcW w:type="dxa" w:w="1512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122</w:t>
            </w:r>
          </w:p>
        </w:tc>
        <w:tc>
          <w:tcPr>
            <w:tcW w:type="dxa" w:w="139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814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2558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Intel Aero RTF</w:t>
            </w:r>
          </w:p>
        </w:tc>
        <w:tc>
          <w:tcPr>
            <w:tcW w:type="dxa" w:w="1279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256</w:t>
            </w:r>
          </w:p>
        </w:tc>
        <w:tc>
          <w:tcPr>
            <w:tcW w:type="dxa" w:w="1512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256</w:t>
            </w:r>
          </w:p>
        </w:tc>
        <w:tc>
          <w:tcPr>
            <w:tcW w:type="dxa" w:w="1512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</w:t>
            </w:r>
          </w:p>
        </w:tc>
        <w:tc>
          <w:tcPr>
            <w:tcW w:type="dxa" w:w="139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814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2558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Mambo</w:t>
            </w:r>
          </w:p>
        </w:tc>
        <w:tc>
          <w:tcPr>
            <w:tcW w:type="dxa" w:w="1279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578</w:t>
            </w:r>
          </w:p>
        </w:tc>
        <w:tc>
          <w:tcPr>
            <w:tcW w:type="dxa" w:w="1512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578</w:t>
            </w:r>
          </w:p>
        </w:tc>
        <w:tc>
          <w:tcPr>
            <w:tcW w:type="dxa" w:w="1512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</w:t>
            </w:r>
          </w:p>
        </w:tc>
        <w:tc>
          <w:tcPr>
            <w:tcW w:type="dxa" w:w="139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814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6</w:t>
            </w:r>
          </w:p>
        </w:tc>
        <w:tc>
          <w:tcPr>
            <w:tcW w:type="dxa" w:w="2558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YH 19Hw</w:t>
            </w:r>
          </w:p>
        </w:tc>
        <w:tc>
          <w:tcPr>
            <w:tcW w:type="dxa" w:w="1279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471</w:t>
            </w:r>
          </w:p>
        </w:tc>
        <w:tc>
          <w:tcPr>
            <w:tcW w:type="dxa" w:w="1512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396</w:t>
            </w:r>
          </w:p>
        </w:tc>
        <w:tc>
          <w:tcPr>
            <w:tcW w:type="dxa" w:w="1512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75</w:t>
            </w:r>
          </w:p>
        </w:tc>
        <w:tc>
          <w:tcPr>
            <w:tcW w:type="dxa" w:w="139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814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7</w:t>
            </w:r>
          </w:p>
        </w:tc>
        <w:tc>
          <w:tcPr>
            <w:tcW w:type="dxa" w:w="2558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Anafi-Extended</w:t>
            </w:r>
          </w:p>
        </w:tc>
        <w:tc>
          <w:tcPr>
            <w:tcW w:type="dxa" w:w="1279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3371</w:t>
            </w:r>
          </w:p>
        </w:tc>
        <w:tc>
          <w:tcPr>
            <w:tcW w:type="dxa" w:w="1512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2382</w:t>
            </w:r>
          </w:p>
        </w:tc>
        <w:tc>
          <w:tcPr>
            <w:tcW w:type="dxa" w:w="1512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989</w:t>
            </w:r>
          </w:p>
        </w:tc>
        <w:tc>
          <w:tcPr>
            <w:tcW w:type="dxa" w:w="139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814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8</w:t>
            </w:r>
          </w:p>
        </w:tc>
        <w:tc>
          <w:tcPr>
            <w:tcW w:type="dxa" w:w="2558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DJIFPV</w:t>
            </w:r>
          </w:p>
        </w:tc>
        <w:tc>
          <w:tcPr>
            <w:tcW w:type="dxa" w:w="1279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3439</w:t>
            </w:r>
          </w:p>
        </w:tc>
        <w:tc>
          <w:tcPr>
            <w:tcW w:type="dxa" w:w="1512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2327</w:t>
            </w:r>
          </w:p>
        </w:tc>
        <w:tc>
          <w:tcPr>
            <w:tcW w:type="dxa" w:w="1512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1112</w:t>
            </w:r>
          </w:p>
        </w:tc>
        <w:tc>
          <w:tcPr>
            <w:tcW w:type="dxa" w:w="139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814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9</w:t>
            </w:r>
          </w:p>
        </w:tc>
        <w:tc>
          <w:tcPr>
            <w:tcW w:type="dxa" w:w="2558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EFT-E410S</w:t>
            </w:r>
          </w:p>
        </w:tc>
        <w:tc>
          <w:tcPr>
            <w:tcW w:type="dxa" w:w="1279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3552</w:t>
            </w:r>
          </w:p>
        </w:tc>
        <w:tc>
          <w:tcPr>
            <w:tcW w:type="dxa" w:w="1512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2400</w:t>
            </w:r>
          </w:p>
        </w:tc>
        <w:tc>
          <w:tcPr>
            <w:tcW w:type="dxa" w:w="1512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1152</w:t>
            </w:r>
          </w:p>
        </w:tc>
        <w:tc>
          <w:tcPr>
            <w:tcW w:type="dxa" w:w="139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814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10</w:t>
            </w:r>
          </w:p>
        </w:tc>
        <w:tc>
          <w:tcPr>
            <w:tcW w:type="dxa" w:w="2558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Mavic_Air</w:t>
            </w:r>
          </w:p>
        </w:tc>
        <w:tc>
          <w:tcPr>
            <w:tcW w:type="dxa" w:w="1279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3519</w:t>
            </w:r>
          </w:p>
        </w:tc>
        <w:tc>
          <w:tcPr>
            <w:tcW w:type="dxa" w:w="1512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2356</w:t>
            </w:r>
          </w:p>
        </w:tc>
        <w:tc>
          <w:tcPr>
            <w:tcW w:type="dxa" w:w="1512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1163</w:t>
            </w:r>
          </w:p>
        </w:tc>
        <w:tc>
          <w:tcPr>
            <w:tcW w:type="dxa" w:w="139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814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11</w:t>
            </w:r>
          </w:p>
        </w:tc>
        <w:tc>
          <w:tcPr>
            <w:tcW w:type="dxa" w:w="2558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Mavic_Enterprise</w:t>
            </w:r>
          </w:p>
        </w:tc>
        <w:tc>
          <w:tcPr>
            <w:tcW w:type="dxa" w:w="1279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3409</w:t>
            </w:r>
          </w:p>
        </w:tc>
        <w:tc>
          <w:tcPr>
            <w:tcW w:type="dxa" w:w="1512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2320</w:t>
            </w:r>
          </w:p>
        </w:tc>
        <w:tc>
          <w:tcPr>
            <w:tcW w:type="dxa" w:w="1512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1089</w:t>
            </w:r>
          </w:p>
        </w:tc>
        <w:tc>
          <w:tcPr>
            <w:tcW w:type="dxa" w:w="139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814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keepNext w:val="0"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合计</w:t>
            </w:r>
          </w:p>
        </w:tc>
        <w:tc>
          <w:tcPr>
            <w:tcW w:type="dxa" w:w="2558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keepNext w:val="0"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12 个类别</w:t>
            </w:r>
          </w:p>
        </w:tc>
        <w:tc>
          <w:tcPr>
            <w:tcW w:type="dxa" w:w="1279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keepNext w:val="0"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20010</w:t>
            </w:r>
          </w:p>
        </w:tc>
        <w:tc>
          <w:tcPr>
            <w:tcW w:type="dxa" w:w="1512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keepNext w:val="0"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14106</w:t>
            </w:r>
          </w:p>
        </w:tc>
        <w:tc>
          <w:tcPr>
            <w:tcW w:type="dxa" w:w="1512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keepNext w:val="0"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5904</w:t>
            </w:r>
          </w:p>
        </w:tc>
        <w:tc>
          <w:tcPr>
            <w:tcW w:type="dxa" w:w="139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keepNext w:val="0"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28</w:t>
            </w:r>
          </w:p>
        </w:tc>
      </w:tr>
    </w:tbl>
    <w:p>
      <w:pPr>
        <w:spacing w:after="40" w:line="84" w:lineRule="auto"/>
        <w:ind w:firstLine="0"/>
      </w:pPr>
    </w:p>
    <w:p>
      <w:pPr>
        <w:keepNext/>
        <w:spacing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27727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3_dataset_profil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772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图3 数据分布。（a）各类别训练与测试样本数，C00至C11对应表8；（b）原生裁剪短边的互斥区间分布，反映进入主清单的尺度差异。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4.2 多模型测试结果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各模型均评价同一批 5,904 张冻结测试样本。表中 CV-F1 对训练内部可验证六类计分，Test-F1 对测试出现八类计分，二者口径不同，不能直接将差值解释为模型过拟合程度。结果按测试 Macro-F1 降序展示，排序不改变实验前的方法声明。</w:t>
      </w:r>
    </w:p>
    <w:p>
      <w:pPr>
        <w:keepNext/>
        <w:ind w:firstLine="0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>表9 十三组模型评价指标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0"/>
        <w:gridCol w:w="1205"/>
        <w:gridCol w:w="1276"/>
        <w:gridCol w:w="1276"/>
        <w:gridCol w:w="1276"/>
        <w:gridCol w:w="1559"/>
      </w:tblGrid>
      <w:tr>
        <w:trPr>
          <w:cantSplit/>
          <w:tblHeader/>
        </w:trPr>
        <w:tc>
          <w:tcPr>
            <w:tcW w:type="dxa" w:w="248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12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表示与模型</w:t>
            </w:r>
          </w:p>
        </w:tc>
        <w:tc>
          <w:tcPr>
            <w:tcW w:type="dxa" w:w="1205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12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Accuracy</w:t>
            </w:r>
          </w:p>
        </w:tc>
        <w:tc>
          <w:tcPr>
            <w:tcW w:type="dxa" w:w="127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12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平衡准确率</w:t>
            </w:r>
          </w:p>
        </w:tc>
        <w:tc>
          <w:tcPr>
            <w:tcW w:type="dxa" w:w="127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12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Test-F1</w:t>
            </w:r>
          </w:p>
        </w:tc>
        <w:tc>
          <w:tcPr>
            <w:tcW w:type="dxa" w:w="127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12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加权 F1</w:t>
            </w:r>
          </w:p>
        </w:tc>
        <w:tc>
          <w:tcPr>
            <w:tcW w:type="dxa" w:w="1559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12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CV-F1</w:t>
            </w:r>
          </w:p>
        </w:tc>
      </w:tr>
      <w:tr>
        <w:trPr>
          <w:cantSplit/>
        </w:trPr>
        <w:tc>
          <w:tcPr>
            <w:tcW w:type="dxa" w:w="248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手工＋调优 KNN</w:t>
            </w:r>
          </w:p>
        </w:tc>
        <w:tc>
          <w:tcPr>
            <w:tcW w:type="dxa" w:w="1205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0.7307</w:t>
            </w:r>
          </w:p>
        </w:tc>
        <w:tc>
          <w:tcPr>
            <w:tcW w:type="dxa" w:w="127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0.5819</w:t>
            </w:r>
          </w:p>
        </w:tc>
        <w:tc>
          <w:tcPr>
            <w:tcW w:type="dxa" w:w="127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0.6108</w:t>
            </w:r>
          </w:p>
        </w:tc>
        <w:tc>
          <w:tcPr>
            <w:tcW w:type="dxa" w:w="127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0.7372</w:t>
            </w:r>
          </w:p>
        </w:tc>
        <w:tc>
          <w:tcPr>
            <w:tcW w:type="dxa" w:w="1559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0.6255</w:t>
            </w:r>
          </w:p>
        </w:tc>
      </w:tr>
      <w:tr>
        <w:trPr>
          <w:cantSplit/>
        </w:trPr>
        <w:tc>
          <w:tcPr>
            <w:tcW w:type="dxa" w:w="248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手工＋KNN</w:t>
            </w:r>
          </w:p>
        </w:tc>
        <w:tc>
          <w:tcPr>
            <w:tcW w:type="dxa" w:w="1205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0.7276</w:t>
            </w:r>
          </w:p>
        </w:tc>
        <w:tc>
          <w:tcPr>
            <w:tcW w:type="dxa" w:w="127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0.5705</w:t>
            </w:r>
          </w:p>
        </w:tc>
        <w:tc>
          <w:tcPr>
            <w:tcW w:type="dxa" w:w="127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0.6029</w:t>
            </w:r>
          </w:p>
        </w:tc>
        <w:tc>
          <w:tcPr>
            <w:tcW w:type="dxa" w:w="127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0.7346</w:t>
            </w:r>
          </w:p>
        </w:tc>
        <w:tc>
          <w:tcPr>
            <w:tcW w:type="dxa" w:w="1559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0.6152</w:t>
            </w:r>
          </w:p>
        </w:tc>
      </w:tr>
      <w:tr>
        <w:trPr>
          <w:cantSplit/>
        </w:trPr>
        <w:tc>
          <w:tcPr>
            <w:tcW w:type="dxa" w:w="248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SigLIP2＋KNN</w:t>
            </w:r>
          </w:p>
        </w:tc>
        <w:tc>
          <w:tcPr>
            <w:tcW w:type="dxa" w:w="1205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0.5993</w:t>
            </w:r>
          </w:p>
        </w:tc>
        <w:tc>
          <w:tcPr>
            <w:tcW w:type="dxa" w:w="127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0.5928</w:t>
            </w:r>
          </w:p>
        </w:tc>
        <w:tc>
          <w:tcPr>
            <w:tcW w:type="dxa" w:w="127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0.5749</w:t>
            </w:r>
          </w:p>
        </w:tc>
        <w:tc>
          <w:tcPr>
            <w:tcW w:type="dxa" w:w="127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0.5832</w:t>
            </w:r>
          </w:p>
        </w:tc>
        <w:tc>
          <w:tcPr>
            <w:tcW w:type="dxa" w:w="1559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0.8017</w:t>
            </w:r>
          </w:p>
        </w:tc>
      </w:tr>
      <w:tr>
        <w:trPr>
          <w:cantSplit/>
        </w:trPr>
        <w:tc>
          <w:tcPr>
            <w:tcW w:type="dxa" w:w="248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SigLIP2＋调优 KNN</w:t>
            </w:r>
          </w:p>
        </w:tc>
        <w:tc>
          <w:tcPr>
            <w:tcW w:type="dxa" w:w="1205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0.5960</w:t>
            </w:r>
          </w:p>
        </w:tc>
        <w:tc>
          <w:tcPr>
            <w:tcW w:type="dxa" w:w="127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0.5885</w:t>
            </w:r>
          </w:p>
        </w:tc>
        <w:tc>
          <w:tcPr>
            <w:tcW w:type="dxa" w:w="127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0.5739</w:t>
            </w:r>
          </w:p>
        </w:tc>
        <w:tc>
          <w:tcPr>
            <w:tcW w:type="dxa" w:w="127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0.5784</w:t>
            </w:r>
          </w:p>
        </w:tc>
        <w:tc>
          <w:tcPr>
            <w:tcW w:type="dxa" w:w="1559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0.8147</w:t>
            </w:r>
          </w:p>
        </w:tc>
      </w:tr>
      <w:tr>
        <w:trPr>
          <w:cantSplit/>
        </w:trPr>
        <w:tc>
          <w:tcPr>
            <w:tcW w:type="dxa" w:w="248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手工＋RBF-SVM</w:t>
            </w:r>
          </w:p>
        </w:tc>
        <w:tc>
          <w:tcPr>
            <w:tcW w:type="dxa" w:w="1205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0.6618</w:t>
            </w:r>
          </w:p>
        </w:tc>
        <w:tc>
          <w:tcPr>
            <w:tcW w:type="dxa" w:w="127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0.5712</w:t>
            </w:r>
          </w:p>
        </w:tc>
        <w:tc>
          <w:tcPr>
            <w:tcW w:type="dxa" w:w="127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0.5478</w:t>
            </w:r>
          </w:p>
        </w:tc>
        <w:tc>
          <w:tcPr>
            <w:tcW w:type="dxa" w:w="127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0.6662</w:t>
            </w:r>
          </w:p>
        </w:tc>
        <w:tc>
          <w:tcPr>
            <w:tcW w:type="dxa" w:w="1559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0.6079</w:t>
            </w:r>
          </w:p>
        </w:tc>
      </w:tr>
      <w:tr>
        <w:trPr>
          <w:cantSplit/>
        </w:trPr>
        <w:tc>
          <w:tcPr>
            <w:tcW w:type="dxa" w:w="248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SigLIP2＋逻辑回归</w:t>
            </w:r>
          </w:p>
        </w:tc>
        <w:tc>
          <w:tcPr>
            <w:tcW w:type="dxa" w:w="1205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0.5908</w:t>
            </w:r>
          </w:p>
        </w:tc>
        <w:tc>
          <w:tcPr>
            <w:tcW w:type="dxa" w:w="127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0.6187</w:t>
            </w:r>
          </w:p>
        </w:tc>
        <w:tc>
          <w:tcPr>
            <w:tcW w:type="dxa" w:w="127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0.5452</w:t>
            </w:r>
          </w:p>
        </w:tc>
        <w:tc>
          <w:tcPr>
            <w:tcW w:type="dxa" w:w="127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0.5734</w:t>
            </w:r>
          </w:p>
        </w:tc>
        <w:tc>
          <w:tcPr>
            <w:tcW w:type="dxa" w:w="1559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0.7928</w:t>
            </w:r>
          </w:p>
        </w:tc>
      </w:tr>
      <w:tr>
        <w:trPr>
          <w:cantSplit/>
        </w:trPr>
        <w:tc>
          <w:tcPr>
            <w:tcW w:type="dxa" w:w="248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SigLIP2＋RBF-SVM</w:t>
            </w:r>
          </w:p>
        </w:tc>
        <w:tc>
          <w:tcPr>
            <w:tcW w:type="dxa" w:w="1205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0.5628</w:t>
            </w:r>
          </w:p>
        </w:tc>
        <w:tc>
          <w:tcPr>
            <w:tcW w:type="dxa" w:w="127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0.5739</w:t>
            </w:r>
          </w:p>
        </w:tc>
        <w:tc>
          <w:tcPr>
            <w:tcW w:type="dxa" w:w="127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0.5224</w:t>
            </w:r>
          </w:p>
        </w:tc>
        <w:tc>
          <w:tcPr>
            <w:tcW w:type="dxa" w:w="127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0.5420</w:t>
            </w:r>
          </w:p>
        </w:tc>
        <w:tc>
          <w:tcPr>
            <w:tcW w:type="dxa" w:w="1559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0.7691</w:t>
            </w:r>
          </w:p>
        </w:tc>
      </w:tr>
      <w:tr>
        <w:trPr>
          <w:cantSplit/>
        </w:trPr>
        <w:tc>
          <w:tcPr>
            <w:tcW w:type="dxa" w:w="248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手工＋逻辑回归</w:t>
            </w:r>
          </w:p>
        </w:tc>
        <w:tc>
          <w:tcPr>
            <w:tcW w:type="dxa" w:w="1205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0.6145</w:t>
            </w:r>
          </w:p>
        </w:tc>
        <w:tc>
          <w:tcPr>
            <w:tcW w:type="dxa" w:w="127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0.5263</w:t>
            </w:r>
          </w:p>
        </w:tc>
        <w:tc>
          <w:tcPr>
            <w:tcW w:type="dxa" w:w="127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0.5036</w:t>
            </w:r>
          </w:p>
        </w:tc>
        <w:tc>
          <w:tcPr>
            <w:tcW w:type="dxa" w:w="127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0.6248</w:t>
            </w:r>
          </w:p>
        </w:tc>
        <w:tc>
          <w:tcPr>
            <w:tcW w:type="dxa" w:w="1559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0.5574</w:t>
            </w:r>
          </w:p>
        </w:tc>
      </w:tr>
      <w:tr>
        <w:trPr>
          <w:cantSplit/>
        </w:trPr>
        <w:tc>
          <w:tcPr>
            <w:tcW w:type="dxa" w:w="248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SigLIP2＋随机森林</w:t>
            </w:r>
          </w:p>
        </w:tc>
        <w:tc>
          <w:tcPr>
            <w:tcW w:type="dxa" w:w="1205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0.5108</w:t>
            </w:r>
          </w:p>
        </w:tc>
        <w:tc>
          <w:tcPr>
            <w:tcW w:type="dxa" w:w="127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0.4635</w:t>
            </w:r>
          </w:p>
        </w:tc>
        <w:tc>
          <w:tcPr>
            <w:tcW w:type="dxa" w:w="127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0.4420</w:t>
            </w:r>
          </w:p>
        </w:tc>
        <w:tc>
          <w:tcPr>
            <w:tcW w:type="dxa" w:w="127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0.4708</w:t>
            </w:r>
          </w:p>
        </w:tc>
        <w:tc>
          <w:tcPr>
            <w:tcW w:type="dxa" w:w="1559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0.7930</w:t>
            </w:r>
          </w:p>
        </w:tc>
      </w:tr>
      <w:tr>
        <w:trPr>
          <w:cantSplit/>
        </w:trPr>
        <w:tc>
          <w:tcPr>
            <w:tcW w:type="dxa" w:w="248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Qwen 加权 LoRA</w:t>
            </w:r>
          </w:p>
        </w:tc>
        <w:tc>
          <w:tcPr>
            <w:tcW w:type="dxa" w:w="1205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0.4804</w:t>
            </w:r>
          </w:p>
        </w:tc>
        <w:tc>
          <w:tcPr>
            <w:tcW w:type="dxa" w:w="127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0.3609</w:t>
            </w:r>
          </w:p>
        </w:tc>
        <w:tc>
          <w:tcPr>
            <w:tcW w:type="dxa" w:w="127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0.3670</w:t>
            </w:r>
          </w:p>
        </w:tc>
        <w:tc>
          <w:tcPr>
            <w:tcW w:type="dxa" w:w="127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0.4721</w:t>
            </w:r>
          </w:p>
        </w:tc>
        <w:tc>
          <w:tcPr>
            <w:tcW w:type="dxa" w:w="1559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248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Qwen 标准 LoRA</w:t>
            </w:r>
          </w:p>
        </w:tc>
        <w:tc>
          <w:tcPr>
            <w:tcW w:type="dxa" w:w="1205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0.4946</w:t>
            </w:r>
          </w:p>
        </w:tc>
        <w:tc>
          <w:tcPr>
            <w:tcW w:type="dxa" w:w="127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0.3645</w:t>
            </w:r>
          </w:p>
        </w:tc>
        <w:tc>
          <w:tcPr>
            <w:tcW w:type="dxa" w:w="127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0.3668</w:t>
            </w:r>
          </w:p>
        </w:tc>
        <w:tc>
          <w:tcPr>
            <w:tcW w:type="dxa" w:w="127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0.4841</w:t>
            </w:r>
          </w:p>
        </w:tc>
        <w:tc>
          <w:tcPr>
            <w:tcW w:type="dxa" w:w="1559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248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手工＋随机森林</w:t>
            </w:r>
          </w:p>
        </w:tc>
        <w:tc>
          <w:tcPr>
            <w:tcW w:type="dxa" w:w="1205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0.4314</w:t>
            </w:r>
          </w:p>
        </w:tc>
        <w:tc>
          <w:tcPr>
            <w:tcW w:type="dxa" w:w="127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0.3523</w:t>
            </w:r>
          </w:p>
        </w:tc>
        <w:tc>
          <w:tcPr>
            <w:tcW w:type="dxa" w:w="127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0.3147</w:t>
            </w:r>
          </w:p>
        </w:tc>
        <w:tc>
          <w:tcPr>
            <w:tcW w:type="dxa" w:w="127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0.3793</w:t>
            </w:r>
          </w:p>
        </w:tc>
        <w:tc>
          <w:tcPr>
            <w:tcW w:type="dxa" w:w="1559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0.4871</w:t>
            </w:r>
          </w:p>
        </w:tc>
      </w:tr>
      <w:tr>
        <w:trPr>
          <w:cantSplit/>
        </w:trPr>
        <w:tc>
          <w:tcPr>
            <w:tcW w:type="dxa" w:w="248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keepNext w:val="0"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Qwen 零样本</w:t>
            </w:r>
          </w:p>
        </w:tc>
        <w:tc>
          <w:tcPr>
            <w:tcW w:type="dxa" w:w="1205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keepNext w:val="0"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0.0159</w:t>
            </w:r>
          </w:p>
        </w:tc>
        <w:tc>
          <w:tcPr>
            <w:tcW w:type="dxa" w:w="127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keepNext w:val="0"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0.0582</w:t>
            </w:r>
          </w:p>
        </w:tc>
        <w:tc>
          <w:tcPr>
            <w:tcW w:type="dxa" w:w="127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keepNext w:val="0"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0.0794</w:t>
            </w:r>
          </w:p>
        </w:tc>
        <w:tc>
          <w:tcPr>
            <w:tcW w:type="dxa" w:w="127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keepNext w:val="0"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0.0217</w:t>
            </w:r>
          </w:p>
        </w:tc>
        <w:tc>
          <w:tcPr>
            <w:tcW w:type="dxa" w:w="1559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keepNext w:val="0"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—</w:t>
            </w:r>
          </w:p>
        </w:tc>
      </w:tr>
    </w:tbl>
    <w:p>
      <w:pPr>
        <w:spacing w:after="40" w:line="84" w:lineRule="auto"/>
        <w:ind w:firstLine="0"/>
      </w:pPr>
    </w:p>
    <w:p>
      <w:pPr>
        <w:keepNext/>
        <w:spacing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24893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4_model_comparis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48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图4 总体性能对比。（a）测试准确率；（b）测试八类 Macro-F1。蓝、绿、橙分别表示手工特征、SigLIP2 和 Qwen；两图采用相同排序，排序不参与模型选择。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4.3 调优前后对比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同一表示下以基础 KNN 对应调优 KNN，除参数外沿用相同数据和预处理协议。报告均值与两折标准差，另以百分点表示指标增减，防止把小幅变化夸大为稳定显著提升。</w:t>
      </w:r>
    </w:p>
    <w:p>
      <w:pPr>
        <w:keepNext/>
        <w:ind w:firstLine="0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>表10 KNN 调优前后指标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1872"/>
        <w:gridCol w:w="1872"/>
        <w:gridCol w:w="1440"/>
        <w:gridCol w:w="1440"/>
      </w:tblGrid>
      <w:tr>
        <w:trPr>
          <w:cantSplit/>
          <w:tblHeader/>
        </w:trPr>
        <w:tc>
          <w:tcPr>
            <w:tcW w:type="dxa" w:w="2448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12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表示与阶段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12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邻居数／权重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12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CV-F1 均值±标准差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12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测试准确率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12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测试 Macro-F1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手工调优前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5／uniform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0.6152 ± 0.0658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0.7276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0.6029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手工调优后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3／distance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0.6255 ± 0.0455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0.7307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0.6108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SigLIP2调优前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5／uniform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0.8017 ± 0.0485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0.5993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0.5749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keepNext w:val="0"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SigLIP2调优后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keepNext w:val="0"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3／distance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keepNext w:val="0"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0.8147 ± 0.0593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keepNext w:val="0"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0.5960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keepNext w:val="0"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0.5739</w:t>
            </w:r>
          </w:p>
        </w:tc>
      </w:tr>
    </w:tbl>
    <w:p>
      <w:pPr>
        <w:spacing w:after="40" w:line="84" w:lineRule="auto"/>
        <w:ind w:firstLine="0"/>
      </w:pPr>
    </w:p>
    <w:p>
      <w:pPr>
        <w:keepNext/>
        <w:ind w:firstLine="0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>表11 调优后的指标变化 单位为百分点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16"/>
        <w:gridCol w:w="2766"/>
        <w:gridCol w:w="1930"/>
        <w:gridCol w:w="2059"/>
      </w:tblGrid>
      <w:tr>
        <w:trPr>
          <w:cantSplit/>
          <w:tblHeader/>
        </w:trPr>
        <w:tc>
          <w:tcPr>
            <w:tcW w:type="dxa" w:w="231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12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表示</w:t>
            </w:r>
          </w:p>
        </w:tc>
        <w:tc>
          <w:tcPr>
            <w:tcW w:type="dxa" w:w="276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12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CV-F1 变化</w:t>
            </w:r>
          </w:p>
        </w:tc>
        <w:tc>
          <w:tcPr>
            <w:tcW w:type="dxa" w:w="193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12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测试准确率变化</w:t>
            </w:r>
          </w:p>
        </w:tc>
        <w:tc>
          <w:tcPr>
            <w:tcW w:type="dxa" w:w="2059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12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测试 Macro-F1 变化</w:t>
            </w:r>
          </w:p>
        </w:tc>
      </w:tr>
      <w:tr>
        <w:trPr>
          <w:cantSplit/>
        </w:trPr>
        <w:tc>
          <w:tcPr>
            <w:tcW w:type="dxa" w:w="231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手工</w:t>
            </w:r>
          </w:p>
        </w:tc>
        <w:tc>
          <w:tcPr>
            <w:tcW w:type="dxa" w:w="276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+1.029</w:t>
            </w:r>
          </w:p>
        </w:tc>
        <w:tc>
          <w:tcPr>
            <w:tcW w:type="dxa" w:w="193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+0.305</w:t>
            </w:r>
          </w:p>
        </w:tc>
        <w:tc>
          <w:tcPr>
            <w:tcW w:type="dxa" w:w="2059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+0.791</w:t>
            </w:r>
          </w:p>
        </w:tc>
      </w:tr>
      <w:tr>
        <w:trPr>
          <w:cantSplit/>
        </w:trPr>
        <w:tc>
          <w:tcPr>
            <w:tcW w:type="dxa" w:w="231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keepNext w:val="0"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SigLIP2</w:t>
            </w:r>
          </w:p>
        </w:tc>
        <w:tc>
          <w:tcPr>
            <w:tcW w:type="dxa" w:w="276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keepNext w:val="0"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+1.302</w:t>
            </w:r>
          </w:p>
        </w:tc>
        <w:tc>
          <w:tcPr>
            <w:tcW w:type="dxa" w:w="193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keepNext w:val="0"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-0.322</w:t>
            </w:r>
          </w:p>
        </w:tc>
        <w:tc>
          <w:tcPr>
            <w:tcW w:type="dxa" w:w="2059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keepNext w:val="0"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-0.099</w:t>
            </w:r>
          </w:p>
        </w:tc>
      </w:tr>
    </w:tbl>
    <w:p>
      <w:pPr>
        <w:spacing w:after="40" w:line="84" w:lineRule="auto"/>
        <w:ind w:firstLine="0"/>
      </w:pPr>
    </w:p>
    <w:p>
      <w:pPr>
        <w:keepNext/>
        <w:spacing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185499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5_grid_search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8549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图5 KNN 参数搜索。（a）手工表示；（b）SigLIP2 表示。统一色标显示支持六类的两折平均验证 F1，橙框标记最优组合；未使用测试分数选择网格参数。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手工 KNN 调优后测试准确率与 Macro-F1 小幅提高；SigLIP2 KNN 的验证分数提高而测试分数下降。这说明在有限来源组上的参数最优并不保证测试收益。只有一次固定分组与两折验证，未进行多随机种子重复或显著性检验，不能宣称调优收益具有统计显著性。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4.4 微调策略对照与训练过程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为回答 RQ3，固定 Qwen 基座、图像输入和测试协议，对比零样本、标准 LoRA 与平方根逆频率加权 LoRA。标准微调相对零样本提高了准确率与 Macro-F1；类别加权对整体 Macro-F1 的变化很小，同时准确率下降，未取得一致收益。此对照检验的是当前适配设置，不是视觉模块、训练轮数或模型尺寸的全面消融。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图6右侧来自 training_history.csv 中实际保存的逐步训练损失，未补绘验证曲线，也未将最终汇总损失当作额外训练点。两种损失目标及样本权重不同，曲线绝对大小不宜直接当作优劣排名。训练损失下降说明优化目标被拟合，不能独立证明测试泛化提升。</w:t>
      </w:r>
    </w:p>
    <w:p>
      <w:pPr>
        <w:keepNext/>
        <w:spacing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11747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6_adapta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117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图6 Qwen 适配对照。（a）相同测试集上的三种设置；（b）标准与加权 LoRA 的原始训练损失日志，各训练一轮，未设固定验证集。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4.5 类别错误与预测样例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本任务标签是离散机型，无数值距离含义。以混淆矩阵、逐类 F1 和真实／预测标签样例代替回归的真实值与预测值散点图。下面展示标准 LoRA 的预测，样例按保存顺序、对指定类分别取首个正确与首个错误，避免只展示成功案例；完整 sample_id 由预测 CSV 保留。</w:t>
      </w:r>
    </w:p>
    <w:p>
      <w:pPr>
        <w:keepNext/>
        <w:spacing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436513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7_confusion_comparis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365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图7 手工调优 KNN 与标准 LoRA 的混淆矩阵。仅展示有测试支持的真实类别行，保留全部十二个预测类别及无效输出列；按真实类别归一化为百分比。零项不标数字，非零但不足1%的项标为＜1，类别名称见表8。</w:t>
      </w:r>
    </w:p>
    <w:p>
      <w:pPr>
        <w:keepNext/>
        <w:ind w:firstLine="0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>表12 标准 LoRA 真实与预测标签样例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16"/>
        <w:gridCol w:w="2766"/>
        <w:gridCol w:w="1930"/>
        <w:gridCol w:w="2059"/>
      </w:tblGrid>
      <w:tr>
        <w:trPr>
          <w:cantSplit/>
          <w:tblHeader/>
        </w:trPr>
        <w:tc>
          <w:tcPr>
            <w:tcW w:type="dxa" w:w="231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12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样例编号</w:t>
            </w:r>
          </w:p>
        </w:tc>
        <w:tc>
          <w:tcPr>
            <w:tcW w:type="dxa" w:w="276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12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真实类别</w:t>
            </w:r>
          </w:p>
        </w:tc>
        <w:tc>
          <w:tcPr>
            <w:tcW w:type="dxa" w:w="193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12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预测类别</w:t>
            </w:r>
          </w:p>
        </w:tc>
        <w:tc>
          <w:tcPr>
            <w:tcW w:type="dxa" w:w="2059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12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判定</w:t>
            </w:r>
          </w:p>
        </w:tc>
      </w:tr>
      <w:tr>
        <w:trPr>
          <w:cantSplit/>
        </w:trPr>
        <w:tc>
          <w:tcPr>
            <w:tcW w:type="dxa" w:w="231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P01</w:t>
            </w:r>
          </w:p>
        </w:tc>
        <w:tc>
          <w:tcPr>
            <w:tcW w:type="dxa" w:w="276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DJI phantom 4 pro</w:t>
            </w:r>
          </w:p>
        </w:tc>
        <w:tc>
          <w:tcPr>
            <w:tcW w:type="dxa" w:w="193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DJI phantom 4 pro</w:t>
            </w:r>
          </w:p>
        </w:tc>
        <w:tc>
          <w:tcPr>
            <w:tcW w:type="dxa" w:w="2059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正确</w:t>
            </w:r>
          </w:p>
        </w:tc>
      </w:tr>
      <w:tr>
        <w:trPr>
          <w:cantSplit/>
        </w:trPr>
        <w:tc>
          <w:tcPr>
            <w:tcW w:type="dxa" w:w="231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P02</w:t>
            </w:r>
          </w:p>
        </w:tc>
        <w:tc>
          <w:tcPr>
            <w:tcW w:type="dxa" w:w="276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DJI phantom 4 pro</w:t>
            </w:r>
          </w:p>
        </w:tc>
        <w:tc>
          <w:tcPr>
            <w:tcW w:type="dxa" w:w="193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DJI phantom 3</w:t>
            </w:r>
          </w:p>
        </w:tc>
        <w:tc>
          <w:tcPr>
            <w:tcW w:type="dxa" w:w="2059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错误</w:t>
            </w:r>
          </w:p>
        </w:tc>
      </w:tr>
      <w:tr>
        <w:trPr>
          <w:cantSplit/>
        </w:trPr>
        <w:tc>
          <w:tcPr>
            <w:tcW w:type="dxa" w:w="231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P03</w:t>
            </w:r>
          </w:p>
        </w:tc>
        <w:tc>
          <w:tcPr>
            <w:tcW w:type="dxa" w:w="276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Anafi-Extended</w:t>
            </w:r>
          </w:p>
        </w:tc>
        <w:tc>
          <w:tcPr>
            <w:tcW w:type="dxa" w:w="193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Anafi-Extended</w:t>
            </w:r>
          </w:p>
        </w:tc>
        <w:tc>
          <w:tcPr>
            <w:tcW w:type="dxa" w:w="2059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正确</w:t>
            </w:r>
          </w:p>
        </w:tc>
      </w:tr>
      <w:tr>
        <w:trPr>
          <w:cantSplit/>
        </w:trPr>
        <w:tc>
          <w:tcPr>
            <w:tcW w:type="dxa" w:w="231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P04</w:t>
            </w:r>
          </w:p>
        </w:tc>
        <w:tc>
          <w:tcPr>
            <w:tcW w:type="dxa" w:w="276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Anafi-Extended</w:t>
            </w:r>
          </w:p>
        </w:tc>
        <w:tc>
          <w:tcPr>
            <w:tcW w:type="dxa" w:w="193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DJIFPV</w:t>
            </w:r>
          </w:p>
        </w:tc>
        <w:tc>
          <w:tcPr>
            <w:tcW w:type="dxa" w:w="2059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错误</w:t>
            </w:r>
          </w:p>
        </w:tc>
      </w:tr>
      <w:tr>
        <w:trPr>
          <w:cantSplit/>
        </w:trPr>
        <w:tc>
          <w:tcPr>
            <w:tcW w:type="dxa" w:w="231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P05</w:t>
            </w:r>
          </w:p>
        </w:tc>
        <w:tc>
          <w:tcPr>
            <w:tcW w:type="dxa" w:w="276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DJIFPV</w:t>
            </w:r>
          </w:p>
        </w:tc>
        <w:tc>
          <w:tcPr>
            <w:tcW w:type="dxa" w:w="193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DJIFPV</w:t>
            </w:r>
          </w:p>
        </w:tc>
        <w:tc>
          <w:tcPr>
            <w:tcW w:type="dxa" w:w="2059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正确</w:t>
            </w:r>
          </w:p>
        </w:tc>
      </w:tr>
      <w:tr>
        <w:trPr>
          <w:cantSplit/>
        </w:trPr>
        <w:tc>
          <w:tcPr>
            <w:tcW w:type="dxa" w:w="231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P06</w:t>
            </w:r>
          </w:p>
        </w:tc>
        <w:tc>
          <w:tcPr>
            <w:tcW w:type="dxa" w:w="276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DJIFPV</w:t>
            </w:r>
          </w:p>
        </w:tc>
        <w:tc>
          <w:tcPr>
            <w:tcW w:type="dxa" w:w="193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Mavic_Enterprise</w:t>
            </w:r>
          </w:p>
        </w:tc>
        <w:tc>
          <w:tcPr>
            <w:tcW w:type="dxa" w:w="2059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错误</w:t>
            </w:r>
          </w:p>
        </w:tc>
      </w:tr>
      <w:tr>
        <w:trPr>
          <w:cantSplit/>
        </w:trPr>
        <w:tc>
          <w:tcPr>
            <w:tcW w:type="dxa" w:w="231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P07</w:t>
            </w:r>
          </w:p>
        </w:tc>
        <w:tc>
          <w:tcPr>
            <w:tcW w:type="dxa" w:w="276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EFT-E410S</w:t>
            </w:r>
          </w:p>
        </w:tc>
        <w:tc>
          <w:tcPr>
            <w:tcW w:type="dxa" w:w="193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EFT-E410S</w:t>
            </w:r>
          </w:p>
        </w:tc>
        <w:tc>
          <w:tcPr>
            <w:tcW w:type="dxa" w:w="2059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正确</w:t>
            </w:r>
          </w:p>
        </w:tc>
      </w:tr>
      <w:tr>
        <w:trPr>
          <w:cantSplit/>
        </w:trPr>
        <w:tc>
          <w:tcPr>
            <w:tcW w:type="dxa" w:w="231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keepNext w:val="0"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P08</w:t>
            </w:r>
          </w:p>
        </w:tc>
        <w:tc>
          <w:tcPr>
            <w:tcW w:type="dxa" w:w="276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keepNext w:val="0"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EFT-E410S</w:t>
            </w:r>
          </w:p>
        </w:tc>
        <w:tc>
          <w:tcPr>
            <w:tcW w:type="dxa" w:w="193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keepNext w:val="0"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DJIFPV</w:t>
            </w:r>
          </w:p>
        </w:tc>
        <w:tc>
          <w:tcPr>
            <w:tcW w:type="dxa" w:w="2059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keepNext w:val="0"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错误</w:t>
            </w:r>
          </w:p>
        </w:tc>
      </w:tr>
    </w:tbl>
    <w:p>
      <w:pPr>
        <w:spacing w:after="40" w:line="84" w:lineRule="auto"/>
        <w:ind w:firstLine="0"/>
      </w:pPr>
    </w:p>
    <w:p>
      <w:pPr>
        <w:keepNext/>
        <w:spacing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164147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8_class_f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6414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图8 三种代表模型的逐类 F1，统一色标为0至100%。仅显示测试有支持的八类，不能由该图推断其他四类性能。</w:t>
      </w:r>
    </w:p>
    <w:p>
      <w:pPr>
        <w:pStyle w:val="Heading1"/>
      </w:pPr>
      <w:r>
        <w:rPr>
          <w:rFonts w:ascii="Times New Roman" w:hAnsi="Times New Roman" w:eastAsia="黑体"/>
          <w:b/>
          <w:color w:val="000000"/>
          <w:sz w:val="32"/>
        </w:rPr>
        <w:t>5 实验分析与讨论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5.1 不同模型的表现差异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手工调优 KNN 的测试准确率 0.7307、Macro-F1 0.6108 是本次观察的最佳结果。手工 KNN 高于线性模型，表明固定表示中的局部邻域对当前标签有用；RBF-SVM 提供非线性判别，但其基础参数没有获得相同测试优势。随机森林虽有集成机制，却在高维视觉描述子上取得较低测试成绩，不能仅凭“集成”名称保证更好效果。结果受表示、参数和来源分布共同影响，不能推导任一模型普遍优劣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SigLIP2 的基础 KNN 训练内部 CV-F1 为 0.8017，而测试八类 F1 为 0.5749。口径统一到测试中的六个共同标签子集后，该 KNN 的 F1 为 0.5880，仍提示训练内部验证无法充分代表当前测试分布，但这是事后诊断且样本分布仍不同，不能精确分解数据域偏移和过拟合各自造成的损失。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Qwen 标准 LoRA 的准确率为 0.4946，零样本为 0.0159。零样本 5,809／5,904 张预测集中到标签 0，表现出明显输出偏置；这不等同于均匀随机猜测，不能仅由此认定全部数据标签错误。监督适配改善了标签格式与部分决策边界，但标准 LoRA 在 Anafi→DJIFPV、DJIFPV→Mavic_Enterprise 等类别上仍有大量混淆。其 EFT-E410S 召回率为 0.9340、精确率为 0.9522，二者不应混写。加权 LoRA 的 Macro-F1 约 0.3670，准确率低于标准版本，没有形成整体改善。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可能影响 Qwen 表现的因素包括冻结视觉主干、语言侧低秩适配、单轮预算、闭集标签字符串学习、小目标放大与来源偏差。这些是与配置一致的待验证解释，并非已通过消融证实的因果结论。模型参数多并不保证细粒度、小尺度分类一定占优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5.2 特征重要性与误差来源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随机森林中 lbp_0、lbp_9、saturation_mean、hue_mean 等特征排名靠前，说明该模型利用了纹理、色彩与饱和度统计。这既可能包含机体外观信息，也可能编码背景与成像条件。相关特征会分摊重要性，基于不纯度的重要性不提供因果解释；不能将其写成“色彩决定机型”。应通过独立背景、更严格来源隔离和适当的解释方法继续核对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误差还可能来自作者标签的商品子型未独立核实、相近型号形态相似、连续帧相关、部分框的目标比例低、图像压缩或遮挡，以及未认证来源组。爬虫弱标签没有混入主训练，避免引入未经确认的噪声，但也意味着本次没有验证“公开训练、自采外部测试”的研究设想。</w:t>
      </w:r>
    </w:p>
    <w:p>
      <w:pPr>
        <w:keepNext/>
        <w:ind w:firstLine="0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>表13 手工特征随机森林的前六项重要性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72"/>
        <w:gridCol w:w="6299"/>
      </w:tblGrid>
      <w:tr>
        <w:trPr>
          <w:cantSplit/>
          <w:tblHeader/>
        </w:trPr>
        <w:tc>
          <w:tcPr>
            <w:tcW w:type="dxa" w:w="2772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12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特征名</w:t>
            </w:r>
          </w:p>
        </w:tc>
        <w:tc>
          <w:tcPr>
            <w:tcW w:type="dxa" w:w="6299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12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不纯度重要性</w:t>
            </w:r>
          </w:p>
        </w:tc>
      </w:tr>
      <w:tr>
        <w:trPr>
          <w:cantSplit/>
        </w:trPr>
        <w:tc>
          <w:tcPr>
            <w:tcW w:type="dxa" w:w="2772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lbp_0</w:t>
            </w:r>
          </w:p>
        </w:tc>
        <w:tc>
          <w:tcPr>
            <w:tcW w:type="dxa" w:w="6299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0.015097</w:t>
            </w:r>
          </w:p>
        </w:tc>
      </w:tr>
      <w:tr>
        <w:trPr>
          <w:cantSplit/>
        </w:trPr>
        <w:tc>
          <w:tcPr>
            <w:tcW w:type="dxa" w:w="2772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lbp_9</w:t>
            </w:r>
          </w:p>
        </w:tc>
        <w:tc>
          <w:tcPr>
            <w:tcW w:type="dxa" w:w="6299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0.014172</w:t>
            </w:r>
          </w:p>
        </w:tc>
      </w:tr>
      <w:tr>
        <w:trPr>
          <w:cantSplit/>
        </w:trPr>
        <w:tc>
          <w:tcPr>
            <w:tcW w:type="dxa" w:w="2772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saturation_mean</w:t>
            </w:r>
          </w:p>
        </w:tc>
        <w:tc>
          <w:tcPr>
            <w:tcW w:type="dxa" w:w="6299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0.014135</w:t>
            </w:r>
          </w:p>
        </w:tc>
      </w:tr>
      <w:tr>
        <w:trPr>
          <w:cantSplit/>
        </w:trPr>
        <w:tc>
          <w:tcPr>
            <w:tcW w:type="dxa" w:w="2772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hue_mean</w:t>
            </w:r>
          </w:p>
        </w:tc>
        <w:tc>
          <w:tcPr>
            <w:tcW w:type="dxa" w:w="6299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0.013685</w:t>
            </w:r>
          </w:p>
        </w:tc>
      </w:tr>
      <w:tr>
        <w:trPr>
          <w:cantSplit/>
        </w:trPr>
        <w:tc>
          <w:tcPr>
            <w:tcW w:type="dxa" w:w="2772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lbp_1</w:t>
            </w:r>
          </w:p>
        </w:tc>
        <w:tc>
          <w:tcPr>
            <w:tcW w:type="dxa" w:w="6299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0.013544</w:t>
            </w:r>
          </w:p>
        </w:tc>
      </w:tr>
      <w:tr>
        <w:trPr>
          <w:cantSplit/>
        </w:trPr>
        <w:tc>
          <w:tcPr>
            <w:tcW w:type="dxa" w:w="2772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keepNext w:val="0"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hue_bin_9</w:t>
            </w:r>
          </w:p>
        </w:tc>
        <w:tc>
          <w:tcPr>
            <w:tcW w:type="dxa" w:w="6299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keepNext w:val="0"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0.013046</w:t>
            </w:r>
          </w:p>
        </w:tc>
      </w:tr>
    </w:tbl>
    <w:p>
      <w:pPr>
        <w:spacing w:after="40" w:line="84" w:lineRule="auto"/>
        <w:ind w:firstLine="0"/>
      </w:pPr>
    </w:p>
    <w:p>
      <w:pPr>
        <w:keepNext/>
        <w:spacing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91201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9_forest_importanc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120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图9 手工特征随机森林的重要性排序，仅显示前十二项。该解释针对森林模型，不能作为 KNN、SVM 或 Qwen 的重要性，也不代表因果关系。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5.3 小目标与数据质量局限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依据清洗清单的原生裁剪宽高计算，短边中位数为 51 像素，最小为 8、最大为 720。以下阈值是累计统计，行之间不可相加。</w:t>
      </w:r>
    </w:p>
    <w:p>
      <w:pPr>
        <w:keepNext/>
        <w:ind w:firstLine="0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>表14 原生目标裁剪短边统计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03"/>
        <w:gridCol w:w="2980"/>
        <w:gridCol w:w="3888"/>
      </w:tblGrid>
      <w:tr>
        <w:trPr>
          <w:cantSplit/>
          <w:tblHeader/>
        </w:trPr>
        <w:tc>
          <w:tcPr>
            <w:tcW w:type="dxa" w:w="2203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12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短边条件</w:t>
            </w:r>
          </w:p>
        </w:tc>
        <w:tc>
          <w:tcPr>
            <w:tcW w:type="dxa" w:w="298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12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样本数</w:t>
            </w:r>
          </w:p>
        </w:tc>
        <w:tc>
          <w:tcPr>
            <w:tcW w:type="dxa" w:w="3888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12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占 20,010 张比例</w:t>
            </w:r>
          </w:p>
        </w:tc>
      </w:tr>
      <w:tr>
        <w:trPr>
          <w:cantSplit/>
        </w:trPr>
        <w:tc>
          <w:tcPr>
            <w:tcW w:type="dxa" w:w="2203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小于 12 像素</w:t>
            </w:r>
          </w:p>
        </w:tc>
        <w:tc>
          <w:tcPr>
            <w:tcW w:type="dxa" w:w="298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57</w:t>
            </w:r>
          </w:p>
        </w:tc>
        <w:tc>
          <w:tcPr>
            <w:tcW w:type="dxa" w:w="3888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0.28%</w:t>
            </w:r>
          </w:p>
        </w:tc>
      </w:tr>
      <w:tr>
        <w:trPr>
          <w:cantSplit/>
        </w:trPr>
        <w:tc>
          <w:tcPr>
            <w:tcW w:type="dxa" w:w="2203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小于 16 像素</w:t>
            </w:r>
          </w:p>
        </w:tc>
        <w:tc>
          <w:tcPr>
            <w:tcW w:type="dxa" w:w="298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272</w:t>
            </w:r>
          </w:p>
        </w:tc>
        <w:tc>
          <w:tcPr>
            <w:tcW w:type="dxa" w:w="3888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1.36%</w:t>
            </w:r>
          </w:p>
        </w:tc>
      </w:tr>
      <w:tr>
        <w:trPr>
          <w:cantSplit/>
        </w:trPr>
        <w:tc>
          <w:tcPr>
            <w:tcW w:type="dxa" w:w="2203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小于 24 像素</w:t>
            </w:r>
          </w:p>
        </w:tc>
        <w:tc>
          <w:tcPr>
            <w:tcW w:type="dxa" w:w="298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1262</w:t>
            </w:r>
          </w:p>
        </w:tc>
        <w:tc>
          <w:tcPr>
            <w:tcW w:type="dxa" w:w="3888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6.31%</w:t>
            </w:r>
          </w:p>
        </w:tc>
      </w:tr>
      <w:tr>
        <w:trPr>
          <w:cantSplit/>
        </w:trPr>
        <w:tc>
          <w:tcPr>
            <w:tcW w:type="dxa" w:w="2203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小于 32 像素</w:t>
            </w:r>
          </w:p>
        </w:tc>
        <w:tc>
          <w:tcPr>
            <w:tcW w:type="dxa" w:w="298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3448</w:t>
            </w:r>
          </w:p>
        </w:tc>
        <w:tc>
          <w:tcPr>
            <w:tcW w:type="dxa" w:w="3888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17.23%</w:t>
            </w:r>
          </w:p>
        </w:tc>
      </w:tr>
      <w:tr>
        <w:trPr>
          <w:cantSplit/>
        </w:trPr>
        <w:tc>
          <w:tcPr>
            <w:tcW w:type="dxa" w:w="2203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小于 48 像素</w:t>
            </w:r>
          </w:p>
        </w:tc>
        <w:tc>
          <w:tcPr>
            <w:tcW w:type="dxa" w:w="298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8306</w:t>
            </w:r>
          </w:p>
        </w:tc>
        <w:tc>
          <w:tcPr>
            <w:tcW w:type="dxa" w:w="3888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41.51%</w:t>
            </w:r>
          </w:p>
        </w:tc>
      </w:tr>
      <w:tr>
        <w:trPr>
          <w:cantSplit/>
        </w:trPr>
        <w:tc>
          <w:tcPr>
            <w:tcW w:type="dxa" w:w="2203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keepNext w:val="0"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小于 64 像素</w:t>
            </w:r>
          </w:p>
        </w:tc>
        <w:tc>
          <w:tcPr>
            <w:tcW w:type="dxa" w:w="298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keepNext w:val="0"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14232</w:t>
            </w:r>
          </w:p>
        </w:tc>
        <w:tc>
          <w:tcPr>
            <w:tcW w:type="dxa" w:w="3888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keepNext w:val="0"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71.12%</w:t>
            </w:r>
          </w:p>
        </w:tc>
      </w:tr>
    </w:tbl>
    <w:p>
      <w:pPr>
        <w:spacing w:after="40" w:line="84" w:lineRule="auto"/>
        <w:ind w:firstLine="0"/>
      </w:pPr>
    </w:p>
    <w:p>
      <w:r>
        <w:rPr>
          <w:rFonts w:ascii="Times New Roman" w:hAnsi="Times New Roman" w:eastAsia="宋体"/>
          <w:b w:val="0"/>
          <w:color w:val="000000"/>
          <w:sz w:val="24"/>
        </w:rPr>
        <w:t>短边小于 24 的 1,262 张占 6.31%，小于 32 的 3,448 张占 17.23%。这回应了部分目标很小、肉眼难辨的问题，说明“清洗后”不能等同于“每张均适合细粒度机型鉴别”。尺寸只是审核线索，不存在对所有机型通用的自动可辨阈值。当前结果保留这些样本，没有执行去除后重训，也没有通过尺度消融证明低分主要由小图造成。后续需在训练阶段预定可辨认性规则，保留困难测试样本单独报告；不能在看到测试错误后删掉难例，再把新高分与旧协议直接比较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进一步将已保存的逐图预测按原生短边分为＜24、24至31、32至47、48至63、64至95、≥96像素的互斥区间。图10显示各区间准确率与支持数，明细保存于 paper_figures/scale_diagnostics.csv。标准 LoRA 在短边＜24像素的332张测试图上准确率为8.43%，在48至63像素的1,385张上为75.31%，但在≥96像素的598张上又降至33.61%，并不呈单调关系。此分析没有重新推理、筛除测试图或拟合新参数。各区间的类别和来源组成不同，曲线差异不能解释为单纯提高分辨率即可获得的性能增益，也不是控制变量的尺度消融。</w:t>
      </w:r>
    </w:p>
    <w:p>
      <w:pPr>
        <w:keepNext/>
        <w:spacing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6359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0_scale_diagnostic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635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图10 目标尺度分层诊断。（a）三种代表模型在各原生短边区间的测试准确率；（b）相应测试样本数。该图为固定结果的事后描述，不提供尺度因素的因果结论。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5.4 过拟合与欠拟合</w:t>
      </w:r>
    </w:p>
    <w:p>
      <w:pPr>
        <w:keepNext/>
        <w:ind w:firstLine="0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>表15 传统模型训练与测试准确率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03"/>
        <w:gridCol w:w="2980"/>
        <w:gridCol w:w="3888"/>
      </w:tblGrid>
      <w:tr>
        <w:trPr>
          <w:cantSplit/>
          <w:tblHeader/>
        </w:trPr>
        <w:tc>
          <w:tcPr>
            <w:tcW w:type="dxa" w:w="2203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12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表示与模型</w:t>
            </w:r>
          </w:p>
        </w:tc>
        <w:tc>
          <w:tcPr>
            <w:tcW w:type="dxa" w:w="298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12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训练准确率</w:t>
            </w:r>
          </w:p>
        </w:tc>
        <w:tc>
          <w:tcPr>
            <w:tcW w:type="dxa" w:w="3888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12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测试准确率</w:t>
            </w:r>
          </w:p>
        </w:tc>
      </w:tr>
      <w:tr>
        <w:trPr>
          <w:cantSplit/>
        </w:trPr>
        <w:tc>
          <w:tcPr>
            <w:tcW w:type="dxa" w:w="2203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手工＋逻辑回归</w:t>
            </w:r>
          </w:p>
        </w:tc>
        <w:tc>
          <w:tcPr>
            <w:tcW w:type="dxa" w:w="298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1.0000</w:t>
            </w:r>
          </w:p>
        </w:tc>
        <w:tc>
          <w:tcPr>
            <w:tcW w:type="dxa" w:w="3888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0.6145</w:t>
            </w:r>
          </w:p>
        </w:tc>
      </w:tr>
      <w:tr>
        <w:trPr>
          <w:cantSplit/>
        </w:trPr>
        <w:tc>
          <w:tcPr>
            <w:tcW w:type="dxa" w:w="2203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手工＋KNN</w:t>
            </w:r>
          </w:p>
        </w:tc>
        <w:tc>
          <w:tcPr>
            <w:tcW w:type="dxa" w:w="298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0.9687</w:t>
            </w:r>
          </w:p>
        </w:tc>
        <w:tc>
          <w:tcPr>
            <w:tcW w:type="dxa" w:w="3888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0.7276</w:t>
            </w:r>
          </w:p>
        </w:tc>
      </w:tr>
      <w:tr>
        <w:trPr>
          <w:cantSplit/>
        </w:trPr>
        <w:tc>
          <w:tcPr>
            <w:tcW w:type="dxa" w:w="2203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手工＋RBF-SVM</w:t>
            </w:r>
          </w:p>
        </w:tc>
        <w:tc>
          <w:tcPr>
            <w:tcW w:type="dxa" w:w="298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0.9988</w:t>
            </w:r>
          </w:p>
        </w:tc>
        <w:tc>
          <w:tcPr>
            <w:tcW w:type="dxa" w:w="3888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0.6618</w:t>
            </w:r>
          </w:p>
        </w:tc>
      </w:tr>
      <w:tr>
        <w:trPr>
          <w:cantSplit/>
        </w:trPr>
        <w:tc>
          <w:tcPr>
            <w:tcW w:type="dxa" w:w="2203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手工＋随机森林</w:t>
            </w:r>
          </w:p>
        </w:tc>
        <w:tc>
          <w:tcPr>
            <w:tcW w:type="dxa" w:w="298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1.0000</w:t>
            </w:r>
          </w:p>
        </w:tc>
        <w:tc>
          <w:tcPr>
            <w:tcW w:type="dxa" w:w="3888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0.4314</w:t>
            </w:r>
          </w:p>
        </w:tc>
      </w:tr>
      <w:tr>
        <w:trPr>
          <w:cantSplit/>
        </w:trPr>
        <w:tc>
          <w:tcPr>
            <w:tcW w:type="dxa" w:w="2203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手工＋调优 KNN</w:t>
            </w:r>
          </w:p>
        </w:tc>
        <w:tc>
          <w:tcPr>
            <w:tcW w:type="dxa" w:w="298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1.0000</w:t>
            </w:r>
          </w:p>
        </w:tc>
        <w:tc>
          <w:tcPr>
            <w:tcW w:type="dxa" w:w="3888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0.7307</w:t>
            </w:r>
          </w:p>
        </w:tc>
      </w:tr>
      <w:tr>
        <w:trPr>
          <w:cantSplit/>
        </w:trPr>
        <w:tc>
          <w:tcPr>
            <w:tcW w:type="dxa" w:w="2203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SigLIP2＋逻辑回归</w:t>
            </w:r>
          </w:p>
        </w:tc>
        <w:tc>
          <w:tcPr>
            <w:tcW w:type="dxa" w:w="298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1.0000</w:t>
            </w:r>
          </w:p>
        </w:tc>
        <w:tc>
          <w:tcPr>
            <w:tcW w:type="dxa" w:w="3888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0.5908</w:t>
            </w:r>
          </w:p>
        </w:tc>
      </w:tr>
      <w:tr>
        <w:trPr>
          <w:cantSplit/>
        </w:trPr>
        <w:tc>
          <w:tcPr>
            <w:tcW w:type="dxa" w:w="2203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SigLIP2＋KNN</w:t>
            </w:r>
          </w:p>
        </w:tc>
        <w:tc>
          <w:tcPr>
            <w:tcW w:type="dxa" w:w="298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0.9974</w:t>
            </w:r>
          </w:p>
        </w:tc>
        <w:tc>
          <w:tcPr>
            <w:tcW w:type="dxa" w:w="3888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0.5993</w:t>
            </w:r>
          </w:p>
        </w:tc>
      </w:tr>
      <w:tr>
        <w:trPr>
          <w:cantSplit/>
        </w:trPr>
        <w:tc>
          <w:tcPr>
            <w:tcW w:type="dxa" w:w="2203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SigLIP2＋RBF-SVM</w:t>
            </w:r>
          </w:p>
        </w:tc>
        <w:tc>
          <w:tcPr>
            <w:tcW w:type="dxa" w:w="298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0.9995</w:t>
            </w:r>
          </w:p>
        </w:tc>
        <w:tc>
          <w:tcPr>
            <w:tcW w:type="dxa" w:w="3888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0.5628</w:t>
            </w:r>
          </w:p>
        </w:tc>
      </w:tr>
      <w:tr>
        <w:trPr>
          <w:cantSplit/>
        </w:trPr>
        <w:tc>
          <w:tcPr>
            <w:tcW w:type="dxa" w:w="2203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SigLIP2＋随机森林</w:t>
            </w:r>
          </w:p>
        </w:tc>
        <w:tc>
          <w:tcPr>
            <w:tcW w:type="dxa" w:w="298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1.0000</w:t>
            </w:r>
          </w:p>
        </w:tc>
        <w:tc>
          <w:tcPr>
            <w:tcW w:type="dxa" w:w="3888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0.5108</w:t>
            </w:r>
          </w:p>
        </w:tc>
      </w:tr>
      <w:tr>
        <w:trPr>
          <w:cantSplit/>
        </w:trPr>
        <w:tc>
          <w:tcPr>
            <w:tcW w:type="dxa" w:w="2203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keepNext w:val="0"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SigLIP2＋调优 KNN</w:t>
            </w:r>
          </w:p>
        </w:tc>
        <w:tc>
          <w:tcPr>
            <w:tcW w:type="dxa" w:w="298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keepNext w:val="0"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1.0000</w:t>
            </w:r>
          </w:p>
        </w:tc>
        <w:tc>
          <w:tcPr>
            <w:tcW w:type="dxa" w:w="3888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keepNext w:val="0"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0.5960</w:t>
            </w:r>
          </w:p>
        </w:tc>
      </w:tr>
    </w:tbl>
    <w:p>
      <w:pPr>
        <w:spacing w:after="40" w:line="84" w:lineRule="auto"/>
        <w:ind w:firstLine="0"/>
      </w:pPr>
    </w:p>
    <w:p>
      <w:r>
        <w:rPr>
          <w:rFonts w:ascii="Times New Roman" w:hAnsi="Times New Roman" w:eastAsia="宋体"/>
          <w:b w:val="0"/>
          <w:color w:val="000000"/>
          <w:sz w:val="24"/>
        </w:rPr>
        <w:t>多个模型训练准确率接近 1，而测试明显较低，提示记忆训练样本、相关帧、来源分布差异或模型容量等问题需要排查。距离加权 KNN 在本训练点上预测会包含该点自身，训练准确率为 1 并不单独证明数据泄露；应结合组间验证与独立测试判断。Qwen 本次没有逐轮验证曲线，不能仅凭训练损失下降判断泛化改善，也不能确定单轮结果属于纯粹欠拟合。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可执行的后续方案包括收集每类多个可核实来源、在训练组内固定验证方案、使用正则化和可验证的早停、增加真实而有身份依据的训练样本，及开展目标尺度与视觉适配消融。本报告只提出这些方案，不将它们列为已实施的性能提升。</w:t>
      </w:r>
    </w:p>
    <w:p>
      <w:pPr>
        <w:pStyle w:val="Heading1"/>
      </w:pPr>
      <w:r>
        <w:rPr>
          <w:rFonts w:ascii="Times New Roman" w:hAnsi="Times New Roman" w:eastAsia="黑体"/>
          <w:b/>
          <w:color w:val="000000"/>
          <w:sz w:val="32"/>
        </w:rPr>
        <w:t>6 实验问题与解决方法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公开目录数量与论文名义数量不一致。七类目录实际取得 2,973 对，而非预设每类 1,000 对；初版程序因此停止。之后将实际清单与数量差异登记，按可访问子集处理，没有虚构缺少图片或把部分目录写成完整论文数据。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小文件批量下载缓慢，gdown 出现 Cannot retrieve the public link 报错。后续由浏览器下载公开目录压缩包，使用 ZIP 导入脚本核对文件和标注；这解决取得公开原始文件的路径问题，独立网页爬虫仍按来源规则执行，不用手动下载冒充自编爬虫。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部分网页返回 403 或无法取得 robots。采集器停止对应来源，记录请求、错误与 HTML 快照，再处理允许访问的其他来源；未绕过访问控制。公开网页图片的许可和类别身份并不随下载成功自动确认，相关候选保持弱标签角色。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结果整理中出现清单字段名 partition 与真实 split 不一致的问题，导致字段访问异常。按真实表头修正读取逻辑，并固定后续数据格式；缺失目标框或候选字段不匹配时回到原记录核对，禁止补造目标框以使代码运行。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Colab 测试推理续跑时，进度 JSON 声明已完成 3,250 或 4,500 张，但本地 evaluation 目录缺少对应预测前缀 CSV，触发 FileNotFoundError。恢复步骤依据 Drive 中已保存的最新前缀与 SHA-256，将 CSV 放回期望目录后继续同一冻结版本；最终返回三组 Qwen 各 5,904 条预测。恢复进度不应仅信任 completed_samples 数值，必须同时核验文件存在、哈希、样本顺序与冻结版本。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零样本大量输出同一标签。报告保留该失败结果与微调对比，未用规则改写预测来提高分数。小尺寸目标和缺少四类独立测试样本仍未解决，明确写入限制。报告复核还纠正了基础 KNN 与调优 KNN 的 CV 分数混用，以及将 EFT 类精确率误写成召回率的问题；以原始 JSON 与逐图预测为准。</w:t>
      </w:r>
    </w:p>
    <w:p>
      <w:pPr>
        <w:pStyle w:val="Heading1"/>
      </w:pPr>
      <w:r>
        <w:rPr>
          <w:rFonts w:ascii="Times New Roman" w:hAnsi="Times New Roman" w:eastAsia="黑体"/>
          <w:b/>
          <w:color w:val="000000"/>
          <w:sz w:val="32"/>
        </w:rPr>
        <w:t>7 思考题作答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7.1 真实爬虫数据有哪些噪声及不预处理的后果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噪声包括缺失文本、标题与图片不符、重复或相邻帧、损坏图、格式差异、错误框、目标出画、字幕、检测框烧录与来源标签错误。网页还可能含宣传图、渲染图或身份未确认的相似产品。跳过预处理会造成读取异常、错误监督、背景捷径、尺度主导及训练测试重复，既可能降低实际识别能力，也可能虚高离线分数。本实验用原图与裁剪哈希、框校验、审核台账和分组协议缓解这些问题，但仍保留小目标与来源认证不足的限制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7.2 为什么 KNN 需要标准化而树通常不需要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KNN 的距离会被数值范围较大的维度主导。手工特征同时包含概率直方图、梯度统计和宽高比，不统一尺度会使“距离近”偏离预期。标准化参数应仅从当前训练折估计，不能在全数据上预先拟合。树模型逐维按阈值和排序切分，严格单调缩放通常只改变阈值数值而不改变候选分割顺序，所以随机森林通常无需标准化；这并不免除缺失、错误标签和泄露处理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7.3 训练好而测试差属于什么现象及缓解方法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通常首先考虑过拟合，同时排查来源域偏移、标签问题、预处理不一致与评估口径差异。本实验传统模型训练接近满分而测试下降，不能只归因于模型复杂；相关帧与未认证来源同样需要检查。可在训练组内验证、加强正则化、限制容量、对深度模型验证早停、增加经过身份核实的独立数据并预定质量规则。不能用测试结果反复筛图、选参后仍把同一测试集当完全未见数据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7.4 为什么网格搜索应配合交叉验证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单次验证容易受样本和来源分配影响，交叉验证让各参数在相同多轮分组划分上比较，能观察平均表现与波动。本实验每种表示搜索 8 组 KNN 参数，采用两折而非测试集调参。直接利用测试集选参数会把测试信息引入训练决策，导致偏乐观估计；即使未对测试反向传播，也属于方法选择层面的泄露。交叉验证不能消除错误分组或少量来源带来的偏差，使用同一验证折选模型族与网格参数也有选择偏差。</w:t>
      </w:r>
    </w:p>
    <w:p>
      <w:pPr>
        <w:pStyle w:val="Heading1"/>
      </w:pPr>
      <w:r>
        <w:rPr>
          <w:rFonts w:ascii="Times New Roman" w:hAnsi="Times New Roman" w:eastAsia="黑体"/>
          <w:b/>
          <w:color w:val="000000"/>
          <w:sz w:val="32"/>
        </w:rPr>
        <w:t>8 实验总结与心得体会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本实验建立了公开数据导入与网页采集、质量审核、目标裁剪、特征提取、分组验证、多模型训练、调优和冻结测试的可追溯流程。课程要求的四种传统模型均有实测结果，进一步比较了冻结视觉表示与视觉语言模型适配。主数据共 20,010 张真实目标裁剪，十三组模型结果与原始预测相对应，手工调优 KNN 在当前测试集获得最高表现，Qwen 微调改善零样本但未超越该基线。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实验所体现的方法认识是：模型规模、样本总量与数据质量不能互相替代；类别覆盖、来源独立性和评价口径应与性能分数同时报告。数据处理和断点恢复属于研究过程的一部分，只有保存清单、参数和失败记录，才能区分真实方法效果与流程问题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当前需要加强的知识环节包括来源鉴别与标签核验、小目标可辨认性评估、类不平衡下的分组划分、视觉骨干适配与预算控制，以及选择偏差和不确定性分析。下一阶段应优先补齐每类独立来源与固定验证协议，再设计尺度分层、视觉侧适配和多次重复实验。对已打开的测试集做后续优化时，应明确更换实验版本，并用新独立数据检验改进。</w:t>
      </w:r>
    </w:p>
    <w:p>
      <w:pPr>
        <w:pStyle w:val="Heading1"/>
      </w:pPr>
      <w:r>
        <w:rPr>
          <w:rFonts w:ascii="Times New Roman" w:hAnsi="Times New Roman" w:eastAsia="黑体"/>
          <w:b/>
          <w:color w:val="000000"/>
          <w:sz w:val="32"/>
        </w:rPr>
        <w:t>附录 A 可复现性与开源材料</w:t>
      </w:r>
    </w:p>
    <w:p>
      <w:pPr>
        <w:ind w:firstLine="0"/>
      </w:pPr>
      <w:r>
        <w:rPr>
          <w:rFonts w:ascii="Times New Roman" w:hAnsi="Times New Roman" w:eastAsia="宋体"/>
          <w:b w:val="0"/>
          <w:color w:val="000000"/>
          <w:sz w:val="21"/>
        </w:rPr>
        <w:t>项目代码仓库：</w:t>
      </w:r>
      <w:hyperlink r:id="rId10">
        <w:r>
          <w:rPr>
            <w:color w:val="0563C1"/>
            <w:u w:val="single"/>
            <w:sz w:val="21"/>
          </w:rPr>
          <w:t>https://github.com/fangdawei33/uav-type-classification-course-project</w:t>
        </w:r>
      </w:hyperlink>
    </w:p>
    <w:p>
      <w:r>
        <w:rPr>
          <w:rFonts w:ascii="Times New Roman" w:hAnsi="Times New Roman" w:eastAsia="宋体"/>
          <w:b w:val="0"/>
          <w:color w:val="000000"/>
          <w:sz w:val="24"/>
        </w:rPr>
        <w:t>scripts 保存分阶段入口，src/uav_project 保存实现，configs 保存来源与参数，data/delivery 保存数据来源索引，reports 保存正文、图表和证据。源码与历史清单仍使用 development／holdout，分别对应本文训练集／测试集；validation 为训练内部临时验证折，不单独增加到 20,010 张之外。修改报告术语不修改冻结清单与模型结果。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主要运行入口如下，先依 README、docs/UAV12_EXPERIMENT.md 与 docs/UAV12_COLAB.md 准备数据和依赖，再执行所需阶段。已有冻结结果时不要为更新报告重新训练。</w:t>
      </w:r>
    </w:p>
    <w:p>
      <w:pPr>
        <w:keepLines/>
        <w:spacing w:line="247" w:lineRule="auto" w:before="60" w:after="120"/>
        <w:ind w:firstLine="0" w:left="142" w:right="57"/>
      </w:pPr>
      <w:r>
        <w:rPr>
          <w:rFonts w:ascii="Consolas" w:hAnsi="Consolas" w:eastAsia="宋体"/>
          <w:b w:val="0"/>
          <w:color w:val="000000"/>
          <w:sz w:val="16"/>
        </w:rPr>
        <w:t>01_import_public_zip.py          公开压缩包导入</w:t>
      </w:r>
      <w:r>
        <w:br/>
      </w:r>
      <w:r>
        <w:rPr>
          <w:rFonts w:ascii="Consolas" w:hAnsi="Consolas" w:eastAsia="宋体"/>
          <w:b w:val="0"/>
          <w:color w:val="000000"/>
          <w:sz w:val="16"/>
        </w:rPr>
        <w:t>02_crawl_external.py             Commons 公开网页采集</w:t>
      </w:r>
      <w:r>
        <w:br/>
      </w:r>
      <w:r>
        <w:rPr>
          <w:rFonts w:ascii="Consolas" w:hAnsi="Consolas" w:eastAsia="宋体"/>
          <w:b w:val="0"/>
          <w:color w:val="000000"/>
          <w:sz w:val="16"/>
        </w:rPr>
        <w:t>02b_crawl_articles.py            配置文章及媒体采集</w:t>
      </w:r>
      <w:r>
        <w:br/>
      </w:r>
      <w:r>
        <w:rPr>
          <w:rFonts w:ascii="Consolas" w:hAnsi="Consolas" w:eastAsia="宋体"/>
          <w:b w:val="0"/>
          <w:color w:val="000000"/>
          <w:sz w:val="16"/>
        </w:rPr>
        <w:t>03_review_data.py                审核记录与完整性核对</w:t>
      </w:r>
      <w:r>
        <w:br/>
      </w:r>
      <w:r>
        <w:rPr>
          <w:rFonts w:ascii="Consolas" w:hAnsi="Consolas" w:eastAsia="宋体"/>
          <w:b w:val="0"/>
          <w:color w:val="000000"/>
          <w:sz w:val="16"/>
        </w:rPr>
        <w:t>04h_process_expanded_images.py   扩展原生目标裁剪</w:t>
      </w:r>
      <w:r>
        <w:br/>
      </w:r>
      <w:r>
        <w:rPr>
          <w:rFonts w:ascii="Consolas" w:hAnsi="Consolas" w:eastAsia="宋体"/>
          <w:b w:val="0"/>
          <w:color w:val="000000"/>
          <w:sz w:val="16"/>
        </w:rPr>
        <w:t>04i_finalize_expanded_data.py    固定清洗数据版本</w:t>
      </w:r>
      <w:r>
        <w:br/>
      </w:r>
      <w:r>
        <w:rPr>
          <w:rFonts w:ascii="Consolas" w:hAnsi="Consolas" w:eastAsia="宋体"/>
          <w:b w:val="0"/>
          <w:color w:val="000000"/>
          <w:sz w:val="16"/>
        </w:rPr>
        <w:t>05d_prepare_uav12_protocol.py   生成训练测试与分组验证协议</w:t>
      </w:r>
      <w:r>
        <w:br/>
      </w:r>
      <w:r>
        <w:rPr>
          <w:rFonts w:ascii="Consolas" w:hAnsi="Consolas" w:eastAsia="宋体"/>
          <w:b w:val="0"/>
          <w:color w:val="000000"/>
          <w:sz w:val="16"/>
        </w:rPr>
        <w:t>06d_extract_uav12_features.py   手工或 SigLIP2 特征</w:t>
      </w:r>
      <w:r>
        <w:br/>
      </w:r>
      <w:r>
        <w:rPr>
          <w:rFonts w:ascii="Consolas" w:hAnsi="Consolas" w:eastAsia="宋体"/>
          <w:b w:val="0"/>
          <w:color w:val="000000"/>
          <w:sz w:val="16"/>
        </w:rPr>
        <w:t>07d_train_uav12_baselines.py    传统模型与网格搜索</w:t>
      </w:r>
      <w:r>
        <w:br/>
      </w:r>
      <w:r>
        <w:rPr>
          <w:rFonts w:ascii="Consolas" w:hAnsi="Consolas" w:eastAsia="宋体"/>
          <w:b w:val="0"/>
          <w:color w:val="000000"/>
          <w:sz w:val="16"/>
        </w:rPr>
        <w:t>07q_train_qwen3vl.py            Qwen QLoRA 训练</w:t>
      </w:r>
      <w:r>
        <w:br/>
      </w:r>
      <w:r>
        <w:rPr>
          <w:rFonts w:ascii="Consolas" w:hAnsi="Consolas" w:eastAsia="宋体"/>
          <w:b w:val="0"/>
          <w:color w:val="000000"/>
          <w:sz w:val="16"/>
        </w:rPr>
        <w:t>09d_freeze_uav12.py             冻结协议与工件</w:t>
      </w:r>
      <w:r>
        <w:br/>
      </w:r>
      <w:r>
        <w:rPr>
          <w:rFonts w:ascii="Consolas" w:hAnsi="Consolas" w:eastAsia="宋体"/>
          <w:b w:val="0"/>
          <w:color w:val="000000"/>
          <w:sz w:val="16"/>
        </w:rPr>
        <w:t>10d_evaluate_uav12.py           冻结测试评价</w:t>
      </w:r>
      <w:r>
        <w:br/>
      </w:r>
      <w:r>
        <w:rPr>
          <w:rFonts w:ascii="Consolas" w:hAnsi="Consolas" w:eastAsia="宋体"/>
          <w:b w:val="0"/>
          <w:color w:val="000000"/>
          <w:sz w:val="16"/>
        </w:rPr>
        <w:t>11d_export_uav12_report.py      结果导出</w:t>
      </w:r>
      <w:r>
        <w:br/>
      </w:r>
      <w:r>
        <w:rPr>
          <w:rFonts w:ascii="Consolas" w:hAnsi="Consolas" w:eastAsia="宋体"/>
          <w:b w:val="0"/>
          <w:color w:val="000000"/>
          <w:sz w:val="16"/>
        </w:rPr>
        <w:t>17_complete_course_report.py   更新报告，--refresh-figures 重画图表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代码采用 MIT 许可证；第三方图片、模型与数据许可单独适用。公开仓库提供代码、配置、可发布索引、汇总图表与报告，不直接再分发第三方原图、压缩包、基座权重和大体积特征。仅克隆仓库而没有合法取得的数据与模型缓存，不能直接复现全部数值。报告生成脚本需已经解包的结果 JSON／CSV 和交付清单，使用 pandas、python-docx 与 matplotlib，不调用模型、不启动训练。paper_figures 保存十组320 dpi PNG、SVG矢量源图、尺度诊断表与绘图回执，确保图表和固定结果对应。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结果包 SHA-256：a3479ced386e1dea40528d7dd7e50a47577ccf58d17b1599272f93185dcf3eea。最终评估时间：2026-10-23T10:59:46.343021+00:00。模型与数据冻结哈希：b4796acdb94e70b41240598ed441f6feb360f496cbf9294e80be07a45880e6d5。完整环境、训练配置、日志、模型版本和预测校验记录随 uav12_results_for_report.zip 保存。</w:t>
      </w:r>
    </w:p>
    <w:p>
      <w:pPr>
        <w:pStyle w:val="Heading1"/>
      </w:pPr>
      <w:r>
        <w:rPr>
          <w:rFonts w:ascii="Times New Roman" w:hAnsi="Times New Roman" w:eastAsia="黑体"/>
          <w:b/>
          <w:color w:val="000000"/>
          <w:sz w:val="32"/>
        </w:rPr>
        <w:t>附录 B 课程要求与证据对应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数据获取对应 3.1 的字段、原始记录和代码1；预处理对应 3.2 的缺失统计、前后对比与代码2；特征工程对应 3.3 的编码、筛选、标准化与相关性；划分对应 3.4 的比例、种子、验证折与防泄露；四类模型对应 3.5；评价和调参对应 3.6 与表9至表11；图表和误差分析对应第4至第5章；真实问题对应第6章；四道思考题对应第7章；总结对应第8章。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仍需区分报告覆盖和实验证据边界：自编爬虫已执行，但自采弱标签未进入主监督测试；本次没有完成图文传感器的真实配对融合；训练标签为十二类，测试仅覆盖八类，内部验证计分仅六类；Qwen 没有固定验证集；全量专家身份审核与小目标筛选后重训尚未完成。不能仅通过补写报告把这些限制改成已解决。</w:t>
      </w:r>
    </w:p>
    <w:p>
      <w:pPr>
        <w:pStyle w:val="Heading1"/>
      </w:pPr>
      <w:r>
        <w:rPr>
          <w:rFonts w:ascii="Times New Roman" w:hAnsi="Times New Roman" w:eastAsia="黑体"/>
          <w:b/>
          <w:color w:val="000000"/>
          <w:sz w:val="32"/>
        </w:rPr>
        <w:t>参考文献</w:t>
      </w:r>
    </w:p>
    <w:p>
      <w:pPr>
        <w:ind w:hanging="369" w:left="369"/>
      </w:pPr>
      <w:r>
        <w:rPr>
          <w:rFonts w:ascii="Times New Roman" w:hAnsi="Times New Roman" w:eastAsia="宋体"/>
          <w:b w:val="0"/>
          <w:color w:val="000000"/>
          <w:sz w:val="21"/>
        </w:rPr>
        <w:t>[1] AlDosari K, et al. Drone-type-Set: Drone types detection benchmark for drone detection and tracking. arXiv:2405.10398, 2024. https://arxiv.org/abs/2405.10398.</w:t>
      </w:r>
    </w:p>
    <w:p>
      <w:pPr>
        <w:ind w:hanging="369" w:left="369"/>
      </w:pPr>
      <w:r>
        <w:rPr>
          <w:rFonts w:ascii="Times New Roman" w:hAnsi="Times New Roman" w:eastAsia="宋体"/>
          <w:b w:val="0"/>
          <w:color w:val="000000"/>
          <w:sz w:val="21"/>
        </w:rPr>
        <w:t>[2] Tschannen M, et al. SigLIP 2: Multilingual Vision-Language Encoders with Improved Semantic Understanding, Localization, and Dense Features. arXiv:2502.14786, 2025. https://arxiv.org/abs/2502.14786.</w:t>
      </w:r>
    </w:p>
    <w:p>
      <w:pPr>
        <w:ind w:hanging="369" w:left="369"/>
      </w:pPr>
      <w:r>
        <w:rPr>
          <w:rFonts w:ascii="Times New Roman" w:hAnsi="Times New Roman" w:eastAsia="宋体"/>
          <w:b w:val="0"/>
          <w:color w:val="000000"/>
          <w:sz w:val="21"/>
        </w:rPr>
        <w:t>[3] Hu E J, et al. LoRA: Low-Rank Adaptation of Large Language Models. ICLR, 2022.</w:t>
      </w:r>
    </w:p>
    <w:p>
      <w:pPr>
        <w:ind w:hanging="369" w:left="369"/>
      </w:pPr>
      <w:r>
        <w:rPr>
          <w:rFonts w:ascii="Times New Roman" w:hAnsi="Times New Roman" w:eastAsia="宋体"/>
          <w:b w:val="0"/>
          <w:color w:val="000000"/>
          <w:sz w:val="21"/>
        </w:rPr>
        <w:t>[4] Dettmers T, et al. QLoRA: Efficient Finetuning of Quantized LLMs. NeurIPS, 2023.</w:t>
      </w:r>
    </w:p>
    <w:p>
      <w:pPr>
        <w:ind w:hanging="369" w:left="369"/>
      </w:pPr>
      <w:r>
        <w:rPr>
          <w:rFonts w:ascii="Times New Roman" w:hAnsi="Times New Roman" w:eastAsia="宋体"/>
          <w:b w:val="0"/>
          <w:color w:val="000000"/>
          <w:sz w:val="21"/>
        </w:rPr>
        <w:t>[5] Qwen Team. Qwen3-VL-2B-Instruct model card. https://huggingface.co/Qwen/Qwen3-VL-2B-Instruct.</w:t>
      </w:r>
    </w:p>
    <w:p>
      <w:pPr>
        <w:ind w:hanging="369" w:left="369"/>
      </w:pPr>
      <w:r>
        <w:rPr>
          <w:rFonts w:ascii="Times New Roman" w:hAnsi="Times New Roman" w:eastAsia="宋体"/>
          <w:b w:val="0"/>
          <w:color w:val="000000"/>
          <w:sz w:val="21"/>
        </w:rPr>
        <w:t>[6] Google. SigLIP2 base patch16 224 model card. https://huggingface.co/google/siglip2-base-patch16-224.</w:t>
      </w:r>
    </w:p>
    <w:p>
      <w:pPr>
        <w:ind w:hanging="369" w:left="369"/>
      </w:pPr>
      <w:r>
        <w:rPr>
          <w:rFonts w:ascii="Times New Roman" w:hAnsi="Times New Roman" w:eastAsia="宋体"/>
          <w:b w:val="0"/>
          <w:color w:val="000000"/>
          <w:sz w:val="21"/>
        </w:rPr>
        <w:t>[7] 项目数据来源登记与作者版本索引. data/delivery/uav_dataset_v3/README.md 及 raw_acquisition_inventory.csv.</w:t>
      </w:r>
    </w:p>
    <w:sectPr w:rsidR="00FC693F" w:rsidRPr="0006063C" w:rsidSect="00034616">
      <w:footerReference w:type="default" r:id="rId9"/>
      <w:pgSz w:w="11906" w:h="16838"/>
      <w:pgMar w:top="1440" w:right="1361" w:bottom="1440" w:left="1474" w:header="720" w:footer="76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 w:eastAsia="宋体"/>
        <w:b w:val="0"/>
        <w:color w:val="000000"/>
        <w:sz w:val="18"/>
      </w:rPr>
      <w:t xml:space="preserve">无人机机型图像分类与多模型比较研究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widowControl/>
      <w:spacing w:line="336" w:lineRule="auto" w:after="100" w:before="0"/>
      <w:ind w:firstLine="420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40" w:after="140" w:line="336" w:lineRule="auto"/>
      <w:ind w:firstLine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40" w:line="336" w:lineRule="auto"/>
      <w:ind w:firstLine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40" w:after="140" w:line="336" w:lineRule="auto"/>
      <w:ind w:firstLine="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40" w:line="336" w:lineRule="auto" w:before="0"/>
      <w:ind w:firstLine="0"/>
      <w:contextualSpacing/>
    </w:pPr>
    <w:rPr>
      <w:rFonts w:asciiTheme="majorHAnsi" w:eastAsiaTheme="majorEastAsia" w:hAnsiTheme="majorHAnsi" w:cstheme="majorBidi"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github.com/fangdawei33/uav-type-classification-course-project" TargetMode="Externa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基于真实公开数据的无人机机型图像分类与多模型比较研究</dc:title>
  <dc:subject>机器学习课程综合设计实验报告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