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E9" w:rsidRDefault="007B6EE9" w:rsidP="007B6EE9">
      <w:pPr>
        <w:spacing w:line="360" w:lineRule="auto"/>
        <w:jc w:val="center"/>
        <w:rPr>
          <w:rFonts w:ascii="黑体" w:eastAsia="黑体" w:hAnsi="黑体" w:cs="黑体" w:hint="eastAsia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运</w:t>
      </w:r>
      <w:proofErr w:type="gramStart"/>
      <w:r>
        <w:rPr>
          <w:rFonts w:ascii="黑体" w:eastAsia="黑体" w:hAnsi="黑体" w:cs="黑体" w:hint="eastAsia"/>
          <w:sz w:val="44"/>
          <w:szCs w:val="44"/>
        </w:rPr>
        <w:t>维管理</w:t>
      </w:r>
      <w:proofErr w:type="gramEnd"/>
      <w:r>
        <w:rPr>
          <w:rFonts w:ascii="黑体" w:eastAsia="黑体" w:hAnsi="黑体" w:cs="黑体" w:hint="eastAsia"/>
          <w:sz w:val="44"/>
          <w:szCs w:val="44"/>
        </w:rPr>
        <w:t>平台建设方案</w:t>
      </w:r>
    </w:p>
    <w:p w:rsidR="007B6EE9" w:rsidRDefault="007B6EE9" w:rsidP="007B6EE9">
      <w:pPr>
        <w:spacing w:line="360" w:lineRule="auto"/>
        <w:ind w:firstLine="640"/>
        <w:rPr>
          <w:rFonts w:ascii="仿宋" w:eastAsia="仿宋" w:hAnsi="仿宋" w:cs="仿宋" w:hint="eastAsia"/>
          <w:sz w:val="32"/>
          <w:szCs w:val="32"/>
        </w:rPr>
      </w:pPr>
    </w:p>
    <w:p w:rsidR="007B6EE9" w:rsidRDefault="007B6EE9" w:rsidP="007B6EE9">
      <w:pPr>
        <w:spacing w:line="360" w:lineRule="auto"/>
        <w:ind w:firstLine="640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光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伏扶贫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电站项目具有数量多、规模小、布局分散的特点，由于规模过小无法派出专业运维人员，极易出现故障率高、监管不及时、故障排除难、维修滞后等问题。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针对以上问题，计划按照“线上集中运维+线下统一维修”相结合的运维模式，建设集中统一的运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维管理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平台。一是为政府部门提供全周期、多方位、高效、准确的监管服务，进一步为光伏精准扶贫提供决策依据；二是为“运维企业”提供可追溯的闭环管理运维手段，提高运维效率，降低运维成本；三是为贫困村提供便捷的质量监督、发电收益查询服务，便于实现政务公开和群众监督。</w:t>
      </w:r>
    </w:p>
    <w:p w:rsidR="007B6EE9" w:rsidRDefault="007B6EE9" w:rsidP="007B6EE9">
      <w:pPr>
        <w:rPr>
          <w:rFonts w:ascii="黑体" w:eastAsia="黑体" w:hAnsi="黑体" w:cs="黑体" w:hint="eastAsia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 xml:space="preserve">    运</w:t>
      </w:r>
      <w:proofErr w:type="gramStart"/>
      <w:r>
        <w:rPr>
          <w:rFonts w:ascii="黑体" w:eastAsia="黑体" w:hAnsi="黑体" w:cs="黑体" w:hint="eastAsia"/>
          <w:color w:val="000000"/>
          <w:sz w:val="32"/>
          <w:szCs w:val="32"/>
        </w:rPr>
        <w:t>维管理</w:t>
      </w:r>
      <w:proofErr w:type="gramEnd"/>
      <w:r>
        <w:rPr>
          <w:rFonts w:ascii="黑体" w:eastAsia="黑体" w:hAnsi="黑体" w:cs="黑体" w:hint="eastAsia"/>
          <w:color w:val="000000"/>
          <w:sz w:val="32"/>
          <w:szCs w:val="32"/>
        </w:rPr>
        <w:t>平台特点与应用价值——</w:t>
      </w:r>
    </w:p>
    <w:p w:rsidR="007B6EE9" w:rsidRDefault="007B6EE9" w:rsidP="007B6EE9">
      <w:pPr>
        <w:ind w:firstLineChars="200" w:firstLine="640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▲运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维管理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平台采用“线上集中运维+线下统一维修”的运维模式，可有效地节省成本。</w:t>
      </w:r>
    </w:p>
    <w:p w:rsidR="007B6EE9" w:rsidRDefault="007B6EE9" w:rsidP="007B6EE9">
      <w:pPr>
        <w:ind w:firstLineChars="200" w:firstLine="640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▲运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维管理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平台具有远程诊断功能，能够提出各类智能报警，能够及时精准地查找问题隐患，有效提高运营效率。</w:t>
      </w:r>
    </w:p>
    <w:p w:rsidR="007B6EE9" w:rsidRDefault="007B6EE9" w:rsidP="007B6EE9">
      <w:pPr>
        <w:ind w:firstLineChars="200" w:firstLine="640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▲运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维管理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平台可以为运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维企业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 xml:space="preserve">提供可追溯的闭环管理运维手段，提高运维效率，降低运维成本，保障发电收益。   </w:t>
      </w:r>
    </w:p>
    <w:p w:rsidR="007B6EE9" w:rsidRDefault="007B6EE9" w:rsidP="007B6EE9">
      <w:pPr>
        <w:ind w:firstLineChars="200" w:firstLine="640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▲运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维管理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平台可实现数据分权限查询，为政府部门提供全周期、多方位、高效、准确的监管服务，为进一步发展光伏精准扶贫提供决策依据；为村民提供便捷的收益查询、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 xml:space="preserve">质量监督平台。 </w:t>
      </w:r>
    </w:p>
    <w:p w:rsidR="007B6EE9" w:rsidRDefault="007B6EE9" w:rsidP="007B6EE9">
      <w:pPr>
        <w:numPr>
          <w:ilvl w:val="0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0" w:name="_Toc425949410"/>
      <w:bookmarkStart w:id="1" w:name="_Toc440572652"/>
      <w:bookmarkStart w:id="2" w:name="_Toc440571737"/>
      <w:bookmarkStart w:id="3" w:name="_Toc440573035"/>
      <w:bookmarkStart w:id="4" w:name="_Toc317769382"/>
      <w:bookmarkStart w:id="5" w:name="_Toc295198413"/>
      <w:r>
        <w:rPr>
          <w:rFonts w:ascii="黑体" w:eastAsia="黑体" w:hAnsi="黑体" w:cs="黑体" w:hint="eastAsia"/>
          <w:color w:val="000000"/>
          <w:sz w:val="32"/>
          <w:szCs w:val="32"/>
        </w:rPr>
        <w:t>总体要求</w:t>
      </w:r>
      <w:bookmarkEnd w:id="0"/>
      <w:bookmarkEnd w:id="1"/>
      <w:bookmarkEnd w:id="2"/>
      <w:bookmarkEnd w:id="3"/>
      <w:bookmarkEnd w:id="4"/>
      <w:bookmarkEnd w:id="5"/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系统应采用开放式结构、提供冗余的、支持分布式处理环境的网络系统。系统必须满足如下总体技术要求。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6" w:name="_Toc440571738"/>
      <w:bookmarkStart w:id="7" w:name="_Toc295198414"/>
      <w:r>
        <w:rPr>
          <w:rFonts w:ascii="黑体" w:eastAsia="黑体" w:hAnsi="黑体" w:cs="黑体" w:hint="eastAsia"/>
          <w:color w:val="000000"/>
          <w:sz w:val="32"/>
          <w:szCs w:val="32"/>
        </w:rPr>
        <w:t>标准性</w:t>
      </w:r>
      <w:bookmarkEnd w:id="6"/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应用国际通用标准通信规约，保证信息交换的标准化。光伏电站信息采集满足IEC 60870系列、MODBUS等标准，支持DL/T 634.5101-2002、DL/T 634.5104-200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9</w:t>
      </w:r>
      <w:r>
        <w:rPr>
          <w:rFonts w:ascii="仿宋" w:eastAsia="仿宋" w:hAnsi="仿宋" w:cs="仿宋"/>
          <w:color w:val="000000"/>
          <w:sz w:val="32"/>
          <w:szCs w:val="32"/>
        </w:rPr>
        <w:t>、DL/T 719-2000、CDT451-91等通信规约和协议，适应异构系统</w:t>
      </w:r>
      <w:proofErr w:type="gramStart"/>
      <w:r>
        <w:rPr>
          <w:rFonts w:ascii="仿宋" w:eastAsia="仿宋" w:hAnsi="仿宋" w:cs="仿宋"/>
          <w:color w:val="000000"/>
          <w:sz w:val="32"/>
          <w:szCs w:val="32"/>
        </w:rPr>
        <w:t>间数据</w:t>
      </w:r>
      <w:proofErr w:type="gramEnd"/>
      <w:r>
        <w:rPr>
          <w:rFonts w:ascii="仿宋" w:eastAsia="仿宋" w:hAnsi="仿宋" w:cs="仿宋"/>
          <w:color w:val="000000"/>
          <w:sz w:val="32"/>
          <w:szCs w:val="32"/>
        </w:rPr>
        <w:t>交换，实现与不同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系统（设备）</w:t>
      </w:r>
      <w:r>
        <w:rPr>
          <w:rFonts w:ascii="仿宋" w:eastAsia="仿宋" w:hAnsi="仿宋" w:cs="仿宋"/>
          <w:color w:val="000000"/>
          <w:sz w:val="32"/>
          <w:szCs w:val="32"/>
        </w:rPr>
        <w:t>的数据通信。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8" w:name="_Toc440571739"/>
      <w:r>
        <w:rPr>
          <w:rFonts w:ascii="黑体" w:eastAsia="黑体" w:hAnsi="黑体" w:cs="黑体" w:hint="eastAsia"/>
          <w:color w:val="000000"/>
          <w:sz w:val="32"/>
          <w:szCs w:val="32"/>
        </w:rPr>
        <w:t>可靠性</w:t>
      </w:r>
      <w:bookmarkEnd w:id="8"/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（1）系统的重要单元或单元的重要部件应为冗余配置，保证整个系统功能的可用性不受单个故障的影响；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（2）系统的服务器等均采用冗余的双服务器配置方式，当一台发生故障，其功能自动由另外一台代替，保证系统的正常运行；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（3）系统应能够隔离故障，切除故障应不影响其它各节点的正常运行，并保证故障恢复过程快速而平稳；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（4）各厂家的软、硬件产品应遵循共同的国际或国内标准，以保证不同产品组合一起能可靠地协调工作。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9" w:name="_Toc440571740"/>
      <w:bookmarkStart w:id="10" w:name="_Toc295198415"/>
      <w:bookmarkEnd w:id="7"/>
      <w:r>
        <w:rPr>
          <w:rFonts w:ascii="黑体" w:eastAsia="黑体" w:hAnsi="黑体" w:cs="黑体" w:hint="eastAsia"/>
          <w:color w:val="000000"/>
          <w:sz w:val="32"/>
          <w:szCs w:val="32"/>
        </w:rPr>
        <w:t>可扩展性</w:t>
      </w:r>
      <w:bookmarkEnd w:id="9"/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具有软、硬件扩充能力，包括增加硬件、软件功能和容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>量可扩充（光伏电站数量、数据库容量等）。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11" w:name="_Toc440571741"/>
      <w:bookmarkEnd w:id="10"/>
      <w:r>
        <w:rPr>
          <w:rFonts w:ascii="黑体" w:eastAsia="黑体" w:hAnsi="黑体" w:cs="黑体" w:hint="eastAsia"/>
          <w:color w:val="000000"/>
          <w:sz w:val="32"/>
          <w:szCs w:val="32"/>
        </w:rPr>
        <w:t>可维护性</w:t>
      </w:r>
      <w:bookmarkEnd w:id="11"/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（1）符合国际标准、工业标准的通用产品，便于维护；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（2）完整的技术资料（包括自身和第三方软件完整的用户使用和维护手册）。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12" w:name="_Toc295198417"/>
      <w:bookmarkStart w:id="13" w:name="_Toc440571742"/>
      <w:bookmarkStart w:id="14" w:name="_Toc286666919"/>
      <w:bookmarkStart w:id="15" w:name="_Toc42391258"/>
      <w:r>
        <w:rPr>
          <w:rFonts w:ascii="黑体" w:eastAsia="黑体" w:hAnsi="黑体" w:cs="黑体" w:hint="eastAsia"/>
          <w:color w:val="000000"/>
          <w:sz w:val="32"/>
          <w:szCs w:val="32"/>
        </w:rPr>
        <w:t>安全性</w:t>
      </w:r>
      <w:bookmarkEnd w:id="12"/>
      <w:bookmarkEnd w:id="13"/>
      <w:bookmarkEnd w:id="14"/>
      <w:bookmarkEnd w:id="15"/>
    </w:p>
    <w:p w:rsidR="007B6EE9" w:rsidRDefault="007B6EE9" w:rsidP="007B6EE9">
      <w:pPr>
        <w:ind w:firstLine="420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（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1</w:t>
      </w:r>
      <w:r>
        <w:rPr>
          <w:rFonts w:ascii="仿宋" w:eastAsia="仿宋" w:hAnsi="仿宋" w:cs="仿宋"/>
          <w:color w:val="000000"/>
          <w:sz w:val="32"/>
          <w:szCs w:val="32"/>
        </w:rPr>
        <w:t>）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在与公共网的接入界面上，采用专用防火墙系统，防止非法用户的恶意入侵，提供总体安全方案。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</w:t>
      </w:r>
      <w:r>
        <w:rPr>
          <w:rFonts w:ascii="仿宋" w:eastAsia="仿宋" w:hAnsi="仿宋" w:cs="仿宋"/>
          <w:color w:val="000000"/>
          <w:sz w:val="32"/>
          <w:szCs w:val="32"/>
        </w:rPr>
        <w:t>）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中心机房所处建筑应当采取有效防水、防潮、防火、防静电、防雷击、防盗窃、防破坏措施，应当配置电子门禁系统以加强物理访问控制，必要时应当安排专人值守。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（3）系统应进行安全性设计，采取有效的身份鉴别、访问控制、软件容错和资源控制措施，增强系统的安全防护能力。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16" w:name="_Toc392071407"/>
      <w:bookmarkStart w:id="17" w:name="_Toc440571743"/>
      <w:r>
        <w:rPr>
          <w:rFonts w:ascii="黑体" w:eastAsia="黑体" w:hAnsi="黑体" w:cs="黑体" w:hint="eastAsia"/>
          <w:color w:val="000000"/>
          <w:sz w:val="32"/>
          <w:szCs w:val="32"/>
        </w:rPr>
        <w:t>实时性</w:t>
      </w:r>
      <w:bookmarkEnd w:id="16"/>
      <w:bookmarkEnd w:id="17"/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（1）系统应保证光伏电站端遥测、遥信等数据准确、快速地传送至实时数据库，并显示出来，确保运行人员及时了解光伏电站运行情况，并为相关应用软件提供可靠的基础数据；</w:t>
      </w:r>
      <w:r>
        <w:rPr>
          <w:rFonts w:ascii="仿宋" w:eastAsia="仿宋" w:hAnsi="仿宋" w:cs="仿宋"/>
          <w:color w:val="000000"/>
          <w:sz w:val="32"/>
          <w:szCs w:val="32"/>
        </w:rPr>
        <w:t xml:space="preserve"> 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（2）系统应采用C/S结构、配置实时数据库，保存最近两小时的实时数据，以保证实时数据查询使用的快速性。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18" w:name="_Toc440571744"/>
      <w:r>
        <w:rPr>
          <w:rFonts w:ascii="黑体" w:eastAsia="黑体" w:hAnsi="黑体" w:cs="黑体" w:hint="eastAsia"/>
          <w:color w:val="000000"/>
          <w:sz w:val="32"/>
          <w:szCs w:val="32"/>
        </w:rPr>
        <w:t>开放性</w:t>
      </w:r>
      <w:bookmarkEnd w:id="18"/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>（1）系统应遵循国际国内标准，满足开放性要求，选用通用的或者标准化的软硬件产品，包括计算机产品、网络设备、操作系统、网络协议、商用数据库等均遵循国际标准和电力工业标准；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系统应采用开放式体系结构，提供开放式环境，支撑平台应采用国际标准开发，所有功能模块之间的接口标准应统一，支持用户应用软件程序的开发，保证能和其它系统互联和集成一体，或者很方便的实现与其他系统间的接口，系统应能提供以下开放式环境，包括：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1）标准的数据库访问接口；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2）基于标准的图形用户编辑、生成工具及访问接口；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3）标准的网络通信应用层协议、应用基本函数及调用接口；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4）开放式系统软件运行任务调用接口；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（1）系统软件集成的开放环境；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（2）系统具有良好的可扩展性，可以逐步建设、逐步扩充、逐步升级；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（3）系统容量可扩充，包括可接入的光伏电站数量、系统数据库的容量等，不应该有设计容量上的限制，从而能使系统可以整体设计、分步实施；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（4）系统功能可扩充，能不断增加新的功能模块；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（5）新系统应具备集成指定的时间序列数据库产品的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>功能，以保证历史数据存储和提取的高效性；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（6）具有在本系统上嵌入第三方厂家开发的功能模块的能力。</w:t>
      </w:r>
    </w:p>
    <w:p w:rsidR="007B6EE9" w:rsidRDefault="007B6EE9" w:rsidP="007B6EE9">
      <w:pPr>
        <w:numPr>
          <w:ilvl w:val="0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运维平台架构要求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数据采集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通过数据采集实现光伏电站现场设备层的基础数据采集。支持全双工方式通讯，传输速率300，600，1200，2400，9600bps速率可选，并且支持网络RT；能够接收处理不同格式的遥测量，遥信量，电度量，并处理为系统要求的统一格式；可接收同步/异步通道信号；具有对通讯过程监视诊断，统计通道停运时间；能在线关闭和打开指定通道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数据传输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采集的数据通过GPRS方式实现远传，与远程数据中心实现无缝对接。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数据存储与处理</w:t>
      </w:r>
    </w:p>
    <w:p w:rsidR="007B6EE9" w:rsidRDefault="007B6EE9" w:rsidP="007B6EE9">
      <w:pPr>
        <w:spacing w:line="360" w:lineRule="auto"/>
        <w:ind w:firstLineChars="200" w:firstLine="640"/>
        <w:rPr>
          <w:rFonts w:ascii="宋体" w:hAnsi="宋体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将光伏电站所采集的状态数据、设备档案信息、地理位置等数据进行存储和处理，保存最新2小时内的实时数据。并提供API接口，实现高效的实时数据处理。历史数据存储要求保存3年以上，每一年的历史数据可以支持导出后备份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数据分析与应用</w:t>
      </w:r>
    </w:p>
    <w:p w:rsidR="007B6EE9" w:rsidRDefault="007B6EE9" w:rsidP="007B6EE9">
      <w:pPr>
        <w:spacing w:line="360" w:lineRule="auto"/>
        <w:ind w:firstLineChars="180" w:firstLine="576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对采集数据进行计算、统计与分析，指导光伏电站运行效益最大化；设置运维平台的角色权限，分级开放数据查询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>权限。</w:t>
      </w:r>
    </w:p>
    <w:p w:rsidR="007B6EE9" w:rsidRDefault="007B6EE9" w:rsidP="007B6EE9">
      <w:pPr>
        <w:numPr>
          <w:ilvl w:val="0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运维平台的主要内容</w:t>
      </w:r>
    </w:p>
    <w:p w:rsidR="007B6EE9" w:rsidRDefault="007B6EE9" w:rsidP="007B6EE9">
      <w:pPr>
        <w:spacing w:line="360" w:lineRule="auto"/>
        <w:ind w:firstLineChars="200" w:firstLine="64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运维平台主要内容应分为实时监控、资产管理、运维管理、数据分析与应用等。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实时监控</w:t>
      </w:r>
    </w:p>
    <w:p w:rsidR="007B6EE9" w:rsidRDefault="007B6EE9" w:rsidP="007B6EE9">
      <w:pPr>
        <w:numPr>
          <w:ilvl w:val="0"/>
          <w:numId w:val="9"/>
        </w:numPr>
        <w:tabs>
          <w:tab w:val="left" w:pos="0"/>
          <w:tab w:val="left" w:pos="1260"/>
        </w:tabs>
        <w:ind w:left="0" w:firstLine="357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能够实现统一接入所有光伏电站在线监控设备</w:t>
      </w:r>
      <w:r>
        <w:rPr>
          <w:rFonts w:ascii="仿宋" w:eastAsia="仿宋" w:hAnsi="仿宋" w:cs="仿宋"/>
          <w:color w:val="000000"/>
          <w:sz w:val="32"/>
          <w:szCs w:val="32"/>
        </w:rPr>
        <w:t>全站监控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。能够实时远程监测各逆变器数据信息，如逆变器的直流电压、直流电流、直流输入功率、交流输出功率、AB线电压、BC线电压、CA线电压、A相并网电流、B相并网电流、C相并网电流、日发电量等；设备的运行状态信息；实现逆变器的远程控制功能；能够实现各个分布式电站无人值守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资产管理</w:t>
      </w:r>
    </w:p>
    <w:p w:rsidR="007B6EE9" w:rsidRDefault="007B6EE9" w:rsidP="007B6EE9">
      <w:pPr>
        <w:spacing w:line="360" w:lineRule="auto"/>
        <w:ind w:firstLineChars="181" w:firstLine="579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能够实现项目建设期间，对所有开工项目的核心设备拍照存档，保证建设过程的可追溯性，保证政府实时监督工程进展；录入设备档案信息，实现对设备档案的查询统计功能；实现政府部门和运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维企业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对资产运营质量和收益信息的远程监测诊断和监管；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运维管理</w:t>
      </w:r>
    </w:p>
    <w:p w:rsidR="007B6EE9" w:rsidRDefault="007B6EE9" w:rsidP="007B6EE9">
      <w:pPr>
        <w:spacing w:line="360" w:lineRule="auto"/>
        <w:ind w:firstLineChars="181" w:firstLine="579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对运行数据自动评估，智能判断设备运行健康状态，实现设备异常告警、收益异常告警等功能。通过平台发出现场维护指令，实现运维集中化、远端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无人化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管理；实现运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维工作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自动提醒功能；实现故障记录、事件查询、派工单、备品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>备件管理、功能及报表管理，保证高效运维。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告警管理。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接受监测范围内的故障告警信息，并对告警事件进行过滤和归类处理；支持告警定义、过滤、设值等功能；支持文字、声音等方式告警。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统计报表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友好地定制各类报表，运用文本图表等多方式展示数据信息。可以对所有电站的运行发电数据进行分类统计。通过筛选电站的设备参数可以对本电站的数据进行统计分析，还可以通过添加不同的电站进行电站间的同比数据对比，可以根据使用习惯定制不同的数据展示方式，通过横向和纵向的多维对比，全方位地展示电站运行情况。展示电站性能报告、生产率报告，以及日报、月报等报告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数据分析与应用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为满足全部电站和各电站精细化经营管理的目标，系统提供综合全面的数据分析与应用功能。为运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维人员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和政府部门、贫困村提供数据服务和智能分析指导，支持各类人员随时随地通过互联网查询发电量和电费收入各类数据；对电站及各设备的各项指标进行分析和评价，并提供多种维度的对比分析，为生产运行决策提供技术支持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移动应用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支持手机和平板等移动终端查询与展示数据；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19" w:name="_Toc440571763"/>
      <w:r>
        <w:rPr>
          <w:rFonts w:ascii="黑体" w:eastAsia="黑体" w:hAnsi="黑体" w:cs="黑体" w:hint="eastAsia"/>
          <w:color w:val="000000"/>
          <w:sz w:val="32"/>
          <w:szCs w:val="32"/>
        </w:rPr>
        <w:lastRenderedPageBreak/>
        <w:t>用户管理</w:t>
      </w:r>
      <w:bookmarkEnd w:id="19"/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系统应具备参数配置，权限设置，在线用户管理等功能。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</w:t>
      </w:r>
      <w:r>
        <w:rPr>
          <w:rFonts w:ascii="仿宋" w:eastAsia="仿宋" w:hAnsi="仿宋" w:cs="仿宋"/>
          <w:color w:val="000000"/>
          <w:sz w:val="32"/>
          <w:szCs w:val="32"/>
        </w:rPr>
        <w:t>权限管理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。权限管理功能应提供用户的权限级别，使不同级别的用户具有相应级别的监视和操作</w:t>
      </w:r>
      <w:r>
        <w:rPr>
          <w:rFonts w:ascii="仿宋" w:eastAsia="仿宋" w:hAnsi="仿宋" w:cs="仿宋"/>
          <w:color w:val="000000"/>
          <w:sz w:val="32"/>
          <w:szCs w:val="32"/>
        </w:rPr>
        <w:t>权限，从而维护系统的安全和保密性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</w:t>
      </w:r>
      <w:r>
        <w:rPr>
          <w:rFonts w:ascii="仿宋" w:eastAsia="仿宋" w:hAnsi="仿宋" w:cs="仿宋"/>
          <w:color w:val="000000"/>
          <w:sz w:val="32"/>
          <w:szCs w:val="32"/>
        </w:rPr>
        <w:t>用户信息管理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。用户信息管理功能应提供用户的基本信息，以便在系统登录后的画面显示和日志记录</w:t>
      </w:r>
      <w:r>
        <w:rPr>
          <w:rFonts w:ascii="仿宋" w:eastAsia="仿宋" w:hAnsi="仿宋" w:cs="仿宋"/>
          <w:color w:val="000000"/>
          <w:sz w:val="32"/>
          <w:szCs w:val="32"/>
        </w:rPr>
        <w:t xml:space="preserve">相关用户信息。 </w:t>
      </w:r>
    </w:p>
    <w:p w:rsidR="007B6EE9" w:rsidRDefault="007B6EE9" w:rsidP="007B6EE9">
      <w:pPr>
        <w:numPr>
          <w:ilvl w:val="0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运维平台机房建设要求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bookmarkStart w:id="20" w:name="_Toc425949430"/>
      <w:bookmarkStart w:id="21" w:name="_Toc440572660"/>
      <w:bookmarkStart w:id="22" w:name="_Toc440573043"/>
      <w:bookmarkStart w:id="23" w:name="_Toc440571772"/>
      <w:r>
        <w:rPr>
          <w:rFonts w:ascii="黑体" w:eastAsia="黑体" w:hAnsi="黑体" w:cs="黑体" w:hint="eastAsia"/>
          <w:color w:val="000000"/>
          <w:sz w:val="32"/>
          <w:szCs w:val="32"/>
        </w:rPr>
        <w:t>选址要求</w:t>
      </w:r>
      <w:bookmarkEnd w:id="20"/>
      <w:bookmarkEnd w:id="21"/>
      <w:bookmarkEnd w:id="22"/>
      <w:bookmarkEnd w:id="23"/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</w:t>
      </w:r>
      <w:r>
        <w:rPr>
          <w:rFonts w:ascii="仿宋" w:eastAsia="仿宋" w:hAnsi="仿宋" w:cs="仿宋"/>
          <w:color w:val="000000"/>
          <w:sz w:val="32"/>
          <w:szCs w:val="32"/>
        </w:rPr>
        <w:t>的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选址要求</w:t>
      </w:r>
      <w:r>
        <w:rPr>
          <w:rFonts w:ascii="仿宋" w:eastAsia="仿宋" w:hAnsi="仿宋" w:cs="仿宋"/>
          <w:color w:val="000000"/>
          <w:sz w:val="32"/>
          <w:szCs w:val="32"/>
        </w:rPr>
        <w:t>应满足但不限于以下要求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: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（1）中心机房应避免设在建筑物的高层或地下室，以及用水设备的下层或隔壁；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（2）中心机房应选择在具有防震、防风和防雨等能力的建筑内。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bookmarkStart w:id="24" w:name="_Toc425949431"/>
      <w:r>
        <w:rPr>
          <w:rFonts w:ascii="黑体" w:eastAsia="黑体" w:hAnsi="黑体" w:cs="黑体" w:hint="eastAsia"/>
          <w:color w:val="000000"/>
          <w:sz w:val="32"/>
          <w:szCs w:val="32"/>
        </w:rPr>
        <w:t xml:space="preserve"> </w:t>
      </w:r>
      <w:bookmarkStart w:id="25" w:name="_Toc440573044"/>
      <w:bookmarkStart w:id="26" w:name="_Toc440572661"/>
      <w:bookmarkStart w:id="27" w:name="_Toc440571773"/>
      <w:r>
        <w:rPr>
          <w:rFonts w:ascii="黑体" w:eastAsia="黑体" w:hAnsi="黑体" w:cs="黑体" w:hint="eastAsia"/>
          <w:color w:val="000000"/>
          <w:sz w:val="32"/>
          <w:szCs w:val="32"/>
        </w:rPr>
        <w:t>物理访问</w:t>
      </w:r>
      <w:bookmarkEnd w:id="24"/>
      <w:bookmarkEnd w:id="25"/>
      <w:bookmarkEnd w:id="26"/>
      <w:bookmarkEnd w:id="27"/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</w:t>
      </w:r>
      <w:r>
        <w:rPr>
          <w:rFonts w:ascii="仿宋" w:eastAsia="仿宋" w:hAnsi="仿宋" w:cs="仿宋"/>
          <w:color w:val="000000"/>
          <w:sz w:val="32"/>
          <w:szCs w:val="32"/>
        </w:rPr>
        <w:t>的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物理访问要求</w:t>
      </w:r>
      <w:r>
        <w:rPr>
          <w:rFonts w:ascii="仿宋" w:eastAsia="仿宋" w:hAnsi="仿宋" w:cs="仿宋"/>
          <w:color w:val="000000"/>
          <w:sz w:val="32"/>
          <w:szCs w:val="32"/>
        </w:rPr>
        <w:t>应满足但不限于以下要求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: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（1）中心机房出入口应配置电子门禁系统，控制、鉴别和记录进入的人员；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（2）中心机房内应划分区域进行管理，区域和区域之间应用物理方式隔断，在重要区域前设置交付或安装等过渡区域。如配电系统和服务器进行区域隔离。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28" w:name="_Toc425426889"/>
      <w:bookmarkStart w:id="29" w:name="_Toc392071455"/>
      <w:bookmarkStart w:id="30" w:name="_Toc425426768"/>
      <w:bookmarkStart w:id="31" w:name="_Toc425949433"/>
      <w:r>
        <w:rPr>
          <w:rFonts w:ascii="黑体" w:eastAsia="黑体" w:hAnsi="黑体" w:cs="黑体" w:hint="eastAsia"/>
          <w:color w:val="000000"/>
          <w:sz w:val="32"/>
          <w:szCs w:val="32"/>
        </w:rPr>
        <w:lastRenderedPageBreak/>
        <w:t xml:space="preserve"> </w:t>
      </w:r>
      <w:bookmarkStart w:id="32" w:name="_Toc440571774"/>
      <w:bookmarkStart w:id="33" w:name="_Toc440573045"/>
      <w:bookmarkStart w:id="34" w:name="_Toc440572662"/>
      <w:r>
        <w:rPr>
          <w:rFonts w:ascii="黑体" w:eastAsia="黑体" w:hAnsi="黑体" w:cs="黑体"/>
          <w:color w:val="000000"/>
          <w:sz w:val="32"/>
          <w:szCs w:val="32"/>
        </w:rPr>
        <w:t>防雷与接地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 xml:space="preserve"> 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</w:t>
      </w:r>
      <w:r>
        <w:rPr>
          <w:rFonts w:ascii="仿宋" w:eastAsia="仿宋" w:hAnsi="仿宋" w:cs="仿宋"/>
          <w:color w:val="000000"/>
          <w:sz w:val="32"/>
          <w:szCs w:val="32"/>
        </w:rPr>
        <w:t>防雷与接地要求应满足但不限于以要求：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bookmarkStart w:id="35" w:name="_Toc347908177"/>
      <w:bookmarkStart w:id="36" w:name="_Toc347908173"/>
      <w:r>
        <w:rPr>
          <w:rFonts w:ascii="仿宋" w:eastAsia="仿宋" w:hAnsi="仿宋" w:cs="仿宋"/>
          <w:color w:val="000000"/>
          <w:sz w:val="32"/>
          <w:szCs w:val="32"/>
        </w:rPr>
        <w:t>（1）中心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</w:t>
      </w:r>
      <w:r>
        <w:rPr>
          <w:rFonts w:ascii="仿宋" w:eastAsia="仿宋" w:hAnsi="仿宋" w:cs="仿宋"/>
          <w:color w:val="000000"/>
          <w:sz w:val="32"/>
          <w:szCs w:val="32"/>
        </w:rPr>
        <w:t>应有防止雷电感应等过电压的保护措施</w:t>
      </w:r>
      <w:bookmarkEnd w:id="35"/>
      <w:r>
        <w:rPr>
          <w:rFonts w:ascii="仿宋" w:eastAsia="仿宋" w:hAnsi="仿宋" w:cs="仿宋"/>
          <w:color w:val="000000"/>
          <w:sz w:val="32"/>
          <w:szCs w:val="32"/>
        </w:rPr>
        <w:t>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bookmarkStart w:id="37" w:name="_Toc347908178"/>
      <w:r>
        <w:rPr>
          <w:rFonts w:ascii="仿宋" w:eastAsia="仿宋" w:hAnsi="仿宋" w:cs="仿宋"/>
          <w:color w:val="000000"/>
          <w:sz w:val="32"/>
          <w:szCs w:val="32"/>
        </w:rPr>
        <w:t>（2）中心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</w:t>
      </w:r>
      <w:r>
        <w:rPr>
          <w:rFonts w:ascii="仿宋" w:eastAsia="仿宋" w:hAnsi="仿宋" w:cs="仿宋"/>
          <w:color w:val="000000"/>
          <w:sz w:val="32"/>
          <w:szCs w:val="32"/>
        </w:rPr>
        <w:t>一般不设置独立的接地网，应利用所在建筑物的公共接地网</w:t>
      </w:r>
      <w:bookmarkEnd w:id="37"/>
      <w:r>
        <w:rPr>
          <w:rFonts w:ascii="仿宋" w:eastAsia="仿宋" w:hAnsi="仿宋" w:cs="仿宋"/>
          <w:color w:val="000000"/>
          <w:sz w:val="32"/>
          <w:szCs w:val="32"/>
        </w:rPr>
        <w:t>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（3）中心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</w:t>
      </w:r>
      <w:r>
        <w:rPr>
          <w:rFonts w:ascii="仿宋" w:eastAsia="仿宋" w:hAnsi="仿宋" w:cs="仿宋"/>
          <w:color w:val="000000"/>
          <w:sz w:val="32"/>
          <w:szCs w:val="32"/>
        </w:rPr>
        <w:t>内各计算机的信号接地，宜采用并联一点接地方式分别接入环机房敷设的一条共用接地干线，然后再将接地干线一点接入接地网；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（4）有电源输入的屏</w:t>
      </w:r>
      <w:proofErr w:type="gramStart"/>
      <w:r>
        <w:rPr>
          <w:rFonts w:ascii="仿宋" w:eastAsia="仿宋" w:hAnsi="仿宋" w:cs="仿宋"/>
          <w:color w:val="000000"/>
          <w:sz w:val="32"/>
          <w:szCs w:val="32"/>
        </w:rPr>
        <w:t>柜必须</w:t>
      </w:r>
      <w:proofErr w:type="gramEnd"/>
      <w:r>
        <w:rPr>
          <w:rFonts w:ascii="仿宋" w:eastAsia="仿宋" w:hAnsi="仿宋" w:cs="仿宋"/>
          <w:color w:val="000000"/>
          <w:sz w:val="32"/>
          <w:szCs w:val="32"/>
        </w:rPr>
        <w:t>有接地线接到交流电源所在的接地网上；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bookmarkStart w:id="38" w:name="_Toc347908182"/>
      <w:r>
        <w:rPr>
          <w:rFonts w:ascii="仿宋" w:eastAsia="仿宋" w:hAnsi="仿宋" w:cs="仿宋"/>
          <w:color w:val="000000"/>
          <w:sz w:val="32"/>
          <w:szCs w:val="32"/>
        </w:rPr>
        <w:t>（5）当采用没有隔离的串行通信口从一处引接至另一处时，两处必须共用同一接地系统，如不能实现则需增加电气隔离措施。</w:t>
      </w:r>
      <w:bookmarkEnd w:id="38"/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39" w:name="_Toc425949434"/>
      <w:r>
        <w:rPr>
          <w:rFonts w:ascii="黑体" w:eastAsia="黑体" w:hAnsi="黑体" w:cs="黑体" w:hint="eastAsia"/>
          <w:color w:val="000000"/>
          <w:sz w:val="32"/>
          <w:szCs w:val="32"/>
        </w:rPr>
        <w:t xml:space="preserve"> </w:t>
      </w:r>
      <w:bookmarkStart w:id="40" w:name="_Toc440572663"/>
      <w:bookmarkStart w:id="41" w:name="_Toc440571775"/>
      <w:bookmarkStart w:id="42" w:name="_Toc440573046"/>
      <w:r>
        <w:rPr>
          <w:rFonts w:ascii="黑体" w:eastAsia="黑体" w:hAnsi="黑体" w:cs="黑体" w:hint="eastAsia"/>
          <w:color w:val="000000"/>
          <w:sz w:val="32"/>
          <w:szCs w:val="32"/>
        </w:rPr>
        <w:t>防火</w:t>
      </w:r>
      <w:bookmarkEnd w:id="39"/>
      <w:bookmarkEnd w:id="40"/>
      <w:bookmarkEnd w:id="41"/>
      <w:bookmarkEnd w:id="42"/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</w:t>
      </w:r>
      <w:r>
        <w:rPr>
          <w:rFonts w:ascii="仿宋" w:eastAsia="仿宋" w:hAnsi="仿宋" w:cs="仿宋"/>
          <w:color w:val="000000"/>
          <w:sz w:val="32"/>
          <w:szCs w:val="32"/>
        </w:rPr>
        <w:t>的防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火要求</w:t>
      </w:r>
      <w:r>
        <w:rPr>
          <w:rFonts w:ascii="仿宋" w:eastAsia="仿宋" w:hAnsi="仿宋" w:cs="仿宋"/>
          <w:color w:val="000000"/>
          <w:sz w:val="32"/>
          <w:szCs w:val="32"/>
        </w:rPr>
        <w:t>应满足但不限于以下要求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: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（1）中心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机房应设置火灾自动消防系统，能够自动检测火情、自动报警，并自动灭火；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（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2</w:t>
      </w:r>
      <w:r>
        <w:rPr>
          <w:rFonts w:ascii="仿宋" w:eastAsia="仿宋" w:hAnsi="仿宋" w:cs="仿宋"/>
          <w:color w:val="000000"/>
          <w:sz w:val="32"/>
          <w:szCs w:val="32"/>
        </w:rPr>
        <w:t>）中心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机房及相关的工作房间和辅助机房应采取具有耐火等级的建筑材料，如彩钢板或铝塑板等；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（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3</w:t>
      </w:r>
      <w:r>
        <w:rPr>
          <w:rFonts w:ascii="仿宋" w:eastAsia="仿宋" w:hAnsi="仿宋" w:cs="仿宋"/>
          <w:color w:val="000000"/>
          <w:sz w:val="32"/>
          <w:szCs w:val="32"/>
        </w:rPr>
        <w:t>）中心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机房应采取区域隔离防火措施，将重要设备与其他设备隔离开。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43" w:name="_Toc425949435"/>
      <w:r>
        <w:rPr>
          <w:rFonts w:ascii="黑体" w:eastAsia="黑体" w:hAnsi="黑体" w:cs="黑体" w:hint="eastAsia"/>
          <w:color w:val="000000"/>
          <w:sz w:val="32"/>
          <w:szCs w:val="32"/>
        </w:rPr>
        <w:t xml:space="preserve"> </w:t>
      </w:r>
      <w:bookmarkStart w:id="44" w:name="_Toc440573047"/>
      <w:bookmarkStart w:id="45" w:name="_Toc440572664"/>
      <w:bookmarkStart w:id="46" w:name="_Toc440571776"/>
      <w:r>
        <w:rPr>
          <w:rFonts w:ascii="黑体" w:eastAsia="黑体" w:hAnsi="黑体" w:cs="黑体" w:hint="eastAsia"/>
          <w:color w:val="000000"/>
          <w:sz w:val="32"/>
          <w:szCs w:val="32"/>
        </w:rPr>
        <w:t>防水和防潮</w:t>
      </w:r>
      <w:bookmarkEnd w:id="43"/>
      <w:bookmarkEnd w:id="44"/>
      <w:bookmarkEnd w:id="45"/>
      <w:bookmarkEnd w:id="46"/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hint="eastAsia"/>
        </w:rPr>
        <w:lastRenderedPageBreak/>
        <w:t xml:space="preserve"> 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 xml:space="preserve">  </w:t>
      </w:r>
      <w:r>
        <w:rPr>
          <w:rFonts w:ascii="仿宋" w:eastAsia="仿宋" w:hAnsi="仿宋" w:cs="仿宋"/>
          <w:color w:val="000000"/>
          <w:sz w:val="32"/>
          <w:szCs w:val="32"/>
        </w:rPr>
        <w:t>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</w:t>
      </w:r>
      <w:r>
        <w:rPr>
          <w:rFonts w:ascii="仿宋" w:eastAsia="仿宋" w:hAnsi="仿宋" w:cs="仿宋"/>
          <w:color w:val="000000"/>
          <w:sz w:val="32"/>
          <w:szCs w:val="32"/>
        </w:rPr>
        <w:t>的防水和防潮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要求</w:t>
      </w:r>
      <w:r>
        <w:rPr>
          <w:rFonts w:ascii="仿宋" w:eastAsia="仿宋" w:hAnsi="仿宋" w:cs="仿宋"/>
          <w:color w:val="000000"/>
          <w:sz w:val="32"/>
          <w:szCs w:val="32"/>
        </w:rPr>
        <w:t>应满足但不限于以下要求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: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（1）中心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机房内应禁止与机房无关的给排水管道穿过；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（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2</w:t>
      </w:r>
      <w:r>
        <w:rPr>
          <w:rFonts w:ascii="仿宋" w:eastAsia="仿宋" w:hAnsi="仿宋" w:cs="仿宋"/>
          <w:color w:val="000000"/>
          <w:sz w:val="32"/>
          <w:szCs w:val="32"/>
        </w:rPr>
        <w:t>）中心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机房如有窗户，应将窗户进行密封处理，防止雨水渗透；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（3）</w:t>
      </w:r>
      <w:r>
        <w:rPr>
          <w:rFonts w:ascii="仿宋" w:eastAsia="仿宋" w:hAnsi="仿宋" w:cs="仿宋"/>
          <w:color w:val="000000"/>
          <w:sz w:val="32"/>
          <w:szCs w:val="32"/>
        </w:rPr>
        <w:t>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机房应在空调排水口处安装对水敏感的检测装置，对机房进行漏水检测和报警。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47" w:name="_Toc425949437"/>
      <w:r>
        <w:rPr>
          <w:rFonts w:ascii="黑体" w:eastAsia="黑体" w:hAnsi="黑体" w:cs="黑体" w:hint="eastAsia"/>
          <w:color w:val="000000"/>
          <w:sz w:val="32"/>
          <w:szCs w:val="32"/>
        </w:rPr>
        <w:t xml:space="preserve"> </w:t>
      </w:r>
      <w:bookmarkStart w:id="48" w:name="_Toc440573048"/>
      <w:bookmarkStart w:id="49" w:name="_Toc440572665"/>
      <w:bookmarkStart w:id="50" w:name="_Toc440571777"/>
      <w:r>
        <w:rPr>
          <w:rFonts w:ascii="黑体" w:eastAsia="黑体" w:hAnsi="黑体" w:cs="黑体" w:hint="eastAsia"/>
          <w:color w:val="000000"/>
          <w:sz w:val="32"/>
          <w:szCs w:val="32"/>
        </w:rPr>
        <w:t>温湿度控制</w:t>
      </w:r>
      <w:bookmarkEnd w:id="47"/>
      <w:bookmarkEnd w:id="48"/>
      <w:bookmarkEnd w:id="49"/>
      <w:bookmarkEnd w:id="50"/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</w:t>
      </w:r>
      <w:r>
        <w:rPr>
          <w:rFonts w:ascii="仿宋" w:eastAsia="仿宋" w:hAnsi="仿宋" w:cs="仿宋"/>
          <w:color w:val="000000"/>
          <w:sz w:val="32"/>
          <w:szCs w:val="32"/>
        </w:rPr>
        <w:t>的温湿度控制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要求</w:t>
      </w:r>
      <w:r>
        <w:rPr>
          <w:rFonts w:ascii="仿宋" w:eastAsia="仿宋" w:hAnsi="仿宋" w:cs="仿宋"/>
          <w:color w:val="000000"/>
          <w:sz w:val="32"/>
          <w:szCs w:val="32"/>
        </w:rPr>
        <w:t>应满足但不限于以下要求：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</w:t>
      </w:r>
      <w:r>
        <w:rPr>
          <w:rFonts w:ascii="仿宋" w:eastAsia="仿宋" w:hAnsi="仿宋" w:cs="仿宋"/>
          <w:color w:val="000000"/>
          <w:sz w:val="32"/>
          <w:szCs w:val="32"/>
        </w:rPr>
        <w:t>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机房应配置恒温恒湿的精密空调，对机房的温、湿度自动调节；</w:t>
      </w:r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（2）应在</w:t>
      </w:r>
      <w:r>
        <w:rPr>
          <w:rFonts w:ascii="仿宋" w:eastAsia="仿宋" w:hAnsi="仿宋" w:cs="仿宋"/>
          <w:color w:val="000000"/>
          <w:sz w:val="32"/>
          <w:szCs w:val="32"/>
        </w:rPr>
        <w:t>中心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机房内的主要区域内放置温湿度检测设备，对机房的温湿度进行检测。</w:t>
      </w:r>
      <w:bookmarkEnd w:id="36"/>
    </w:p>
    <w:p w:rsidR="007B6EE9" w:rsidRDefault="007B6EE9" w:rsidP="007B6EE9">
      <w:pPr>
        <w:numPr>
          <w:ilvl w:val="0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运维平台主要硬件要求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监控服务器要求</w:t>
      </w:r>
    </w:p>
    <w:p w:rsidR="007B6EE9" w:rsidRDefault="007B6EE9" w:rsidP="007B6EE9">
      <w:pPr>
        <w:spacing w:line="360" w:lineRule="auto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不低于如下参数的：</w:t>
      </w:r>
    </w:p>
    <w:p w:rsidR="007B6EE9" w:rsidRDefault="007B6EE9" w:rsidP="007B6EE9">
      <w:pPr>
        <w:spacing w:line="360" w:lineRule="auto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CPU:配置2颗Intel Xeon E5-2630 V3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八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核 64位处理器，2.4GHz主频，20MB缓存;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内存:16GB RDIMM*4，共64GB;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硬盘:配置2*1TB 2.5寸10000转SAS硬盘;Raid卡:R510i SAS RAID卡，支持RAID0/1/5/10;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网卡:千兆以太网卡*4；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</w: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>光驱:DVD-RW光驱;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电源和风扇:配置1+1 450W热插拔电源;热插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拔冗余系统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风扇；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含导轨、电源线。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程序服务器要求</w:t>
      </w:r>
    </w:p>
    <w:p w:rsidR="007B6EE9" w:rsidRDefault="007B6EE9" w:rsidP="007B6EE9">
      <w:pPr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不低于如下参数的：</w:t>
      </w:r>
    </w:p>
    <w:p w:rsidR="007B6EE9" w:rsidRDefault="007B6EE9" w:rsidP="007B6EE9">
      <w:pPr>
        <w:spacing w:line="360" w:lineRule="auto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CPU:配置2颗Intel Xeon E5-2630 V3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八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核 64位处理器，2.4GHz主频，20MB缓存;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内存:16GB RDIMM*4，共64GB;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硬盘:配置2*1TB 2.5寸10000转SAS硬盘;Raid卡:R510i SAS RAID卡，支持RAID0/1/5/10;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网卡:千兆以太网卡*4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光驱:DVD-RW光驱;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电源和风扇:配置1+1 450W热插拔电源;热插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拔冗余系统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风扇；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含导轨、电源线。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工作站要求</w:t>
      </w:r>
    </w:p>
    <w:p w:rsidR="007B6EE9" w:rsidRDefault="007B6EE9" w:rsidP="007B6EE9">
      <w:pPr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不低于如下参数的PC工作站: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 xml:space="preserve">CPU：1颗Intel Xeon 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四核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E5640 2.66GHz；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内存：4GB；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硬盘容量：300GB；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  <w:t>显存：512MB；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br/>
      </w: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>网卡：10/100/1000Mb Base-T×2；</w:t>
      </w:r>
    </w:p>
    <w:p w:rsidR="007B6EE9" w:rsidRDefault="007B6EE9" w:rsidP="007B6EE9">
      <w:pPr>
        <w:spacing w:line="360" w:lineRule="auto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显示器LCD：22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”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宽屏液晶显示器。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工作站要求</w:t>
      </w:r>
    </w:p>
    <w:p w:rsidR="007B6EE9" w:rsidRDefault="007B6EE9" w:rsidP="007B6EE9">
      <w:pPr>
        <w:spacing w:line="360" w:lineRule="auto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冗余电源输入，百兆接口4、吞吐量（512字节）400Mbps，最大并发连接数6万条，每秒新建连接数3000条。具有包过滤、深度包检测、动态开放端口、日志记录等功能，支持SNAT、DNAT的动态网络地址转换、IP/MAC地址绑定、各种方式的流量统计、带宽管理、网络时间同步协议NTP等，具有多种管理方式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 w:hint="eastAsia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数据采集设备要求</w:t>
      </w:r>
    </w:p>
    <w:p w:rsidR="007B6EE9" w:rsidRDefault="007B6EE9" w:rsidP="007B6EE9">
      <w:pPr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包含无线通信功能；</w:t>
      </w:r>
    </w:p>
    <w:p w:rsidR="007B6EE9" w:rsidRDefault="007B6EE9" w:rsidP="007B6EE9">
      <w:pPr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光伏电站内数据采集功能；</w:t>
      </w:r>
    </w:p>
    <w:p w:rsidR="007B6EE9" w:rsidRDefault="007B6EE9" w:rsidP="007B6EE9">
      <w:pPr>
        <w:spacing w:line="360" w:lineRule="auto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向集控中心上传数据功能。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32"/>
          <w:szCs w:val="32"/>
        </w:rPr>
        <w:t>大屏要求</w:t>
      </w:r>
    </w:p>
    <w:p w:rsidR="007B6EE9" w:rsidRDefault="007B6EE9" w:rsidP="007B6EE9">
      <w:pPr>
        <w:spacing w:line="360" w:lineRule="auto"/>
        <w:rPr>
          <w:rFonts w:ascii="仿宋" w:eastAsia="仿宋" w:hAnsi="仿宋" w:cs="仿宋" w:hint="eastAsia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选择经济、实用的液晶显示面板，图像显示效果细腻清晰，屏幕亮度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高显示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均匀，色彩还原真实，图像失真小，显示稳定性高，使用寿命长，能满足7×24小时长期连续显示的要求。</w:t>
      </w:r>
    </w:p>
    <w:p w:rsidR="007B6EE9" w:rsidRDefault="007B6EE9" w:rsidP="007B6EE9">
      <w:pPr>
        <w:numPr>
          <w:ilvl w:val="0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51" w:name="_Toc425949411"/>
      <w:bookmarkStart w:id="52" w:name="_Toc440571745"/>
      <w:bookmarkStart w:id="53" w:name="_Toc440572653"/>
      <w:bookmarkStart w:id="54" w:name="_Toc440573036"/>
      <w:r>
        <w:rPr>
          <w:rFonts w:ascii="黑体" w:eastAsia="黑体" w:hAnsi="黑体" w:cs="黑体" w:hint="eastAsia"/>
          <w:color w:val="000000"/>
          <w:sz w:val="32"/>
          <w:szCs w:val="32"/>
        </w:rPr>
        <w:t>运维平台性能指标</w:t>
      </w:r>
      <w:bookmarkEnd w:id="51"/>
      <w:bookmarkEnd w:id="52"/>
      <w:bookmarkEnd w:id="53"/>
      <w:bookmarkEnd w:id="54"/>
      <w:r>
        <w:rPr>
          <w:rFonts w:ascii="黑体" w:eastAsia="黑体" w:hAnsi="黑体" w:cs="黑体" w:hint="eastAsia"/>
          <w:color w:val="000000"/>
          <w:sz w:val="32"/>
          <w:szCs w:val="32"/>
        </w:rPr>
        <w:t>要求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55" w:name="_Toc322694447"/>
      <w:bookmarkStart w:id="56" w:name="_Toc440571746"/>
      <w:bookmarkStart w:id="57" w:name="_Toc181941349"/>
      <w:bookmarkStart w:id="58" w:name="_Toc212288290"/>
      <w:bookmarkStart w:id="59" w:name="_Toc322694951"/>
      <w:bookmarkStart w:id="60" w:name="_Toc322694879"/>
      <w:r>
        <w:rPr>
          <w:rFonts w:ascii="黑体" w:eastAsia="黑体" w:hAnsi="黑体" w:cs="黑体" w:hint="eastAsia"/>
          <w:color w:val="000000"/>
          <w:sz w:val="32"/>
          <w:szCs w:val="32"/>
        </w:rPr>
        <w:t>系统指标</w:t>
      </w:r>
      <w:bookmarkEnd w:id="55"/>
      <w:bookmarkEnd w:id="56"/>
      <w:bookmarkEnd w:id="57"/>
      <w:bookmarkEnd w:id="58"/>
      <w:bookmarkEnd w:id="59"/>
      <w:bookmarkEnd w:id="60"/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（1）系统年可用率≥99.9999%；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（2）任何时刻冗余配置的节点之间可相互切换，切换方式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lastRenderedPageBreak/>
        <w:t>包括手动和自动两种方式；冗余热备用节点之间实现无扰动切换，热备用节点接替值班节点的切换时间＜3s；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（3）任何时刻保证热备用节点之间数据的一致性，各节点可随时接替值班节点投入运行；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（4）设备电源故障切换无间断，对双电源设备无干扰。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61" w:name="_Toc322694448"/>
      <w:bookmarkStart w:id="62" w:name="_Toc212288291"/>
      <w:bookmarkStart w:id="63" w:name="_Toc322694880"/>
      <w:bookmarkStart w:id="64" w:name="_Toc322694952"/>
      <w:bookmarkStart w:id="65" w:name="_Toc181941350"/>
      <w:bookmarkStart w:id="66" w:name="_Toc440571747"/>
      <w:r>
        <w:rPr>
          <w:rFonts w:ascii="黑体" w:eastAsia="黑体" w:hAnsi="黑体" w:cs="黑体" w:hint="eastAsia"/>
          <w:color w:val="000000"/>
          <w:sz w:val="32"/>
          <w:szCs w:val="32"/>
        </w:rPr>
        <w:t>系统可靠性</w:t>
      </w:r>
      <w:bookmarkEnd w:id="61"/>
      <w:bookmarkEnd w:id="62"/>
      <w:bookmarkEnd w:id="63"/>
      <w:bookmarkEnd w:id="64"/>
      <w:bookmarkEnd w:id="65"/>
      <w:r>
        <w:rPr>
          <w:rFonts w:ascii="黑体" w:eastAsia="黑体" w:hAnsi="黑体" w:cs="黑体" w:hint="eastAsia"/>
          <w:color w:val="000000"/>
          <w:sz w:val="32"/>
          <w:szCs w:val="32"/>
        </w:rPr>
        <w:t>指标</w:t>
      </w:r>
      <w:bookmarkEnd w:id="66"/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（1）系统中服务器、工作站及网络设备等关键设备MTBF&gt;80000小时；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（2）系统中非关键设备的MTBF≥30,000小时；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（3）系统应能长期稳定运行，在值班设备无硬件故障和非人工干预的情况下，主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备设备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不应发生自动切换；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（4）由于偶发性故障而发生自动热启动的平均次数&lt;1次/3600小时。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67" w:name="_Toc181941351"/>
      <w:bookmarkStart w:id="68" w:name="_Toc212288292"/>
      <w:bookmarkStart w:id="69" w:name="_Toc440571748"/>
      <w:bookmarkStart w:id="70" w:name="_Toc322694881"/>
      <w:bookmarkStart w:id="71" w:name="_Toc322694449"/>
      <w:bookmarkStart w:id="72" w:name="_Toc322694953"/>
      <w:r>
        <w:rPr>
          <w:rFonts w:ascii="黑体" w:eastAsia="黑体" w:hAnsi="黑体" w:cs="黑体" w:hint="eastAsia"/>
          <w:color w:val="000000"/>
          <w:sz w:val="32"/>
          <w:szCs w:val="32"/>
        </w:rPr>
        <w:t>信息处理指标</w:t>
      </w:r>
      <w:bookmarkEnd w:id="67"/>
      <w:bookmarkEnd w:id="68"/>
      <w:bookmarkEnd w:id="69"/>
      <w:bookmarkEnd w:id="70"/>
      <w:bookmarkEnd w:id="71"/>
      <w:bookmarkEnd w:id="72"/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（1）对遥信量、遥测量和遥控量处理的正确率=100%；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（2）遥信动作准确率&gt;99.99%；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（3）遥控准确率=100%；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73" w:name="_Toc322694882"/>
      <w:bookmarkStart w:id="74" w:name="_Toc212288293"/>
      <w:bookmarkStart w:id="75" w:name="_Toc322694450"/>
      <w:bookmarkStart w:id="76" w:name="_Toc322694954"/>
      <w:bookmarkStart w:id="77" w:name="_Toc440571749"/>
      <w:r>
        <w:rPr>
          <w:rFonts w:ascii="黑体" w:eastAsia="黑体" w:hAnsi="黑体" w:cs="黑体" w:hint="eastAsia"/>
          <w:color w:val="000000"/>
          <w:sz w:val="32"/>
          <w:szCs w:val="32"/>
        </w:rPr>
        <w:t>系统容量</w:t>
      </w:r>
      <w:bookmarkStart w:id="78" w:name="_Toc2135079"/>
      <w:bookmarkStart w:id="79" w:name="_Toc2134487"/>
      <w:bookmarkStart w:id="80" w:name="_Toc192652409"/>
      <w:bookmarkStart w:id="81" w:name="_Toc19324768"/>
      <w:bookmarkStart w:id="82" w:name="_Toc193185965"/>
      <w:bookmarkStart w:id="83" w:name="_Toc5508478"/>
      <w:bookmarkStart w:id="84" w:name="_Toc196723761"/>
      <w:bookmarkStart w:id="85" w:name="_Toc196747153"/>
      <w:bookmarkStart w:id="86" w:name="_Toc196746749"/>
      <w:bookmarkStart w:id="87" w:name="_Toc196792640"/>
      <w:bookmarkStart w:id="88" w:name="_Toc5508748"/>
      <w:bookmarkEnd w:id="73"/>
      <w:bookmarkEnd w:id="74"/>
      <w:bookmarkEnd w:id="75"/>
      <w:bookmarkEnd w:id="76"/>
      <w:r>
        <w:rPr>
          <w:rFonts w:ascii="黑体" w:eastAsia="黑体" w:hAnsi="黑体" w:cs="黑体" w:hint="eastAsia"/>
          <w:color w:val="000000"/>
          <w:sz w:val="32"/>
          <w:szCs w:val="32"/>
        </w:rPr>
        <w:t>指标</w:t>
      </w:r>
      <w:bookmarkEnd w:id="77"/>
    </w:p>
    <w:p w:rsidR="007B6EE9" w:rsidRDefault="007B6EE9" w:rsidP="007B6EE9">
      <w:pPr>
        <w:spacing w:line="360" w:lineRule="auto"/>
        <w:ind w:firstLine="420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系统应按可伸缩要求设计, 采集和数据库的容量在设计上无限制</w:t>
      </w:r>
      <w:r>
        <w:rPr>
          <w:rFonts w:ascii="仿宋" w:eastAsia="仿宋" w:hAnsi="仿宋" w:cs="仿宋"/>
          <w:color w:val="000000"/>
          <w:sz w:val="32"/>
          <w:szCs w:val="32"/>
        </w:rPr>
        <w:t xml:space="preserve">, 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仅取决于所购置设备的容量和能力。至少按照5年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期中心</w:t>
      </w:r>
      <w:proofErr w:type="gramEnd"/>
      <w:r>
        <w:rPr>
          <w:rFonts w:ascii="仿宋" w:eastAsia="仿宋" w:hAnsi="仿宋" w:cs="仿宋" w:hint="eastAsia"/>
          <w:color w:val="000000"/>
          <w:sz w:val="32"/>
          <w:szCs w:val="32"/>
        </w:rPr>
        <w:t>发展的规模要求进行配置，并能满足5年后中心的发展、扩充需要。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89" w:name="_Toc196746752"/>
      <w:bookmarkStart w:id="90" w:name="_Toc196747156"/>
      <w:bookmarkStart w:id="91" w:name="_Toc193185968"/>
      <w:bookmarkStart w:id="92" w:name="_Toc196723764"/>
      <w:bookmarkStart w:id="93" w:name="_Toc5508481"/>
      <w:bookmarkStart w:id="94" w:name="_Toc192652412"/>
      <w:bookmarkStart w:id="95" w:name="_Toc5508751"/>
      <w:bookmarkStart w:id="96" w:name="_Toc19324771"/>
      <w:bookmarkStart w:id="97" w:name="_Toc196792643"/>
      <w:bookmarkStart w:id="98" w:name="_Toc322694453"/>
      <w:bookmarkStart w:id="99" w:name="_Toc322694957"/>
      <w:bookmarkStart w:id="100" w:name="_Toc322694885"/>
      <w:bookmarkStart w:id="101" w:name="_Toc440571750"/>
      <w:r>
        <w:rPr>
          <w:rFonts w:ascii="黑体" w:eastAsia="黑体" w:hAnsi="黑体" w:cs="黑体" w:hint="eastAsia"/>
          <w:color w:val="000000"/>
          <w:sz w:val="32"/>
          <w:szCs w:val="32"/>
        </w:rPr>
        <w:lastRenderedPageBreak/>
        <w:t>存贮容量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r>
        <w:rPr>
          <w:rFonts w:ascii="黑体" w:eastAsia="黑体" w:hAnsi="黑体" w:cs="黑体" w:hint="eastAsia"/>
          <w:color w:val="000000"/>
          <w:sz w:val="32"/>
          <w:szCs w:val="32"/>
        </w:rPr>
        <w:t>指标</w:t>
      </w:r>
      <w:bookmarkEnd w:id="101"/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（1）</w:t>
      </w:r>
      <w:r>
        <w:rPr>
          <w:rFonts w:ascii="仿宋" w:eastAsia="仿宋" w:hAnsi="仿宋" w:cs="仿宋"/>
          <w:color w:val="000000"/>
          <w:sz w:val="32"/>
          <w:szCs w:val="32"/>
        </w:rPr>
        <w:t>历史数据存储时间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≥</w:t>
      </w:r>
      <w:r>
        <w:rPr>
          <w:rFonts w:ascii="仿宋" w:eastAsia="仿宋" w:hAnsi="仿宋" w:cs="仿宋"/>
          <w:color w:val="000000"/>
          <w:sz w:val="32"/>
          <w:szCs w:val="32"/>
        </w:rPr>
        <w:t>3年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</w:t>
      </w:r>
      <w:r>
        <w:rPr>
          <w:rFonts w:ascii="仿宋" w:eastAsia="仿宋" w:hAnsi="仿宋" w:cs="仿宋"/>
          <w:color w:val="000000"/>
          <w:sz w:val="32"/>
          <w:szCs w:val="32"/>
        </w:rPr>
        <w:t>对其它应用服务器节点，应用服务器磁盘剩余空间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≥</w:t>
      </w:r>
      <w:r>
        <w:rPr>
          <w:rFonts w:ascii="仿宋" w:eastAsia="仿宋" w:hAnsi="仿宋" w:cs="仿宋"/>
          <w:color w:val="000000"/>
          <w:sz w:val="32"/>
          <w:szCs w:val="32"/>
        </w:rPr>
        <w:t>60%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/>
          <w:color w:val="000000"/>
          <w:sz w:val="32"/>
          <w:szCs w:val="32"/>
        </w:rPr>
        <w:t>（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3</w:t>
      </w:r>
      <w:r>
        <w:rPr>
          <w:rFonts w:ascii="仿宋" w:eastAsia="仿宋" w:hAnsi="仿宋" w:cs="仿宋"/>
          <w:color w:val="000000"/>
          <w:sz w:val="32"/>
          <w:szCs w:val="32"/>
        </w:rPr>
        <w:t>）当存储容量余额低于系统运行要求容量的80%时发出告警信息。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102" w:name="_Toc440571751"/>
      <w:bookmarkStart w:id="103" w:name="_Toc392071452"/>
      <w:r>
        <w:rPr>
          <w:rFonts w:ascii="黑体" w:eastAsia="黑体" w:hAnsi="黑体" w:cs="黑体" w:hint="eastAsia"/>
          <w:color w:val="000000"/>
          <w:sz w:val="32"/>
          <w:szCs w:val="32"/>
        </w:rPr>
        <w:t>系统资源指标</w:t>
      </w:r>
      <w:bookmarkEnd w:id="102"/>
      <w:bookmarkEnd w:id="103"/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bookmarkStart w:id="104" w:name="_Toc347908081"/>
      <w:r>
        <w:rPr>
          <w:rFonts w:ascii="仿宋" w:eastAsia="仿宋" w:hAnsi="仿宋" w:cs="仿宋" w:hint="eastAsia"/>
          <w:color w:val="000000"/>
          <w:sz w:val="32"/>
          <w:szCs w:val="32"/>
        </w:rPr>
        <w:t>（1）服务器正常负荷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率宜&lt;</w:t>
      </w:r>
      <w:proofErr w:type="gramEnd"/>
      <w:r>
        <w:rPr>
          <w:rFonts w:ascii="仿宋" w:eastAsia="仿宋" w:hAnsi="仿宋" w:cs="仿宋"/>
          <w:color w:val="000000"/>
          <w:sz w:val="32"/>
          <w:szCs w:val="32"/>
        </w:rPr>
        <w:t>30%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，事故负荷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率宜&lt;</w:t>
      </w:r>
      <w:proofErr w:type="gramEnd"/>
      <w:r>
        <w:rPr>
          <w:rFonts w:ascii="仿宋" w:eastAsia="仿宋" w:hAnsi="仿宋" w:cs="仿宋"/>
          <w:color w:val="000000"/>
          <w:sz w:val="32"/>
          <w:szCs w:val="32"/>
        </w:rPr>
        <w:t>50%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（2）网络正常负荷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率宜&lt;</w:t>
      </w:r>
      <w:proofErr w:type="gramEnd"/>
      <w:r>
        <w:rPr>
          <w:rFonts w:ascii="仿宋" w:eastAsia="仿宋" w:hAnsi="仿宋" w:cs="仿宋"/>
          <w:color w:val="000000"/>
          <w:sz w:val="32"/>
          <w:szCs w:val="32"/>
        </w:rPr>
        <w:t>20%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，事故负荷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率宜&lt;</w:t>
      </w:r>
      <w:proofErr w:type="gramEnd"/>
      <w:r>
        <w:rPr>
          <w:rFonts w:ascii="仿宋" w:eastAsia="仿宋" w:hAnsi="仿宋" w:cs="仿宋"/>
          <w:color w:val="000000"/>
          <w:sz w:val="32"/>
          <w:szCs w:val="32"/>
        </w:rPr>
        <w:t>40%</w:t>
      </w:r>
      <w:bookmarkEnd w:id="104"/>
      <w:r>
        <w:rPr>
          <w:rFonts w:ascii="仿宋" w:eastAsia="仿宋" w:hAnsi="仿宋" w:cs="仿宋"/>
          <w:color w:val="000000"/>
          <w:sz w:val="32"/>
          <w:szCs w:val="32"/>
        </w:rPr>
        <w:t>；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color w:val="000000"/>
          <w:sz w:val="32"/>
          <w:szCs w:val="32"/>
        </w:rPr>
        <w:t>（3）正常情况下局域网运行负载</w:t>
      </w:r>
      <w:proofErr w:type="gramStart"/>
      <w:r>
        <w:rPr>
          <w:rFonts w:ascii="仿宋" w:eastAsia="仿宋" w:hAnsi="仿宋" w:cs="仿宋" w:hint="eastAsia"/>
          <w:color w:val="000000"/>
          <w:sz w:val="32"/>
          <w:szCs w:val="32"/>
        </w:rPr>
        <w:t>率宜&lt;</w:t>
      </w:r>
      <w:proofErr w:type="gramEnd"/>
      <w:r>
        <w:rPr>
          <w:rFonts w:ascii="仿宋" w:eastAsia="仿宋" w:hAnsi="仿宋" w:cs="仿宋"/>
          <w:color w:val="000000"/>
          <w:sz w:val="32"/>
          <w:szCs w:val="32"/>
        </w:rPr>
        <w:t>10%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。</w:t>
      </w:r>
    </w:p>
    <w:p w:rsidR="007B6EE9" w:rsidRDefault="007B6EE9" w:rsidP="007B6EE9">
      <w:pPr>
        <w:numPr>
          <w:ilvl w:val="1"/>
          <w:numId w:val="7"/>
        </w:num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bookmarkStart w:id="105" w:name="_Toc440571752"/>
      <w:bookmarkStart w:id="106" w:name="_Toc392071453"/>
      <w:r>
        <w:rPr>
          <w:rFonts w:ascii="黑体" w:eastAsia="黑体" w:hAnsi="黑体" w:cs="黑体" w:hint="eastAsia"/>
          <w:color w:val="000000"/>
          <w:sz w:val="32"/>
          <w:szCs w:val="32"/>
        </w:rPr>
        <w:t>系统对时性指标</w:t>
      </w:r>
      <w:bookmarkEnd w:id="105"/>
      <w:bookmarkEnd w:id="106"/>
    </w:p>
    <w:p w:rsidR="007B6EE9" w:rsidRDefault="007B6EE9" w:rsidP="007B6EE9">
      <w:pPr>
        <w:spacing w:line="360" w:lineRule="auto"/>
        <w:rPr>
          <w:rFonts w:ascii="仿宋" w:eastAsia="仿宋" w:hAnsi="仿宋" w:cs="仿宋" w:hint="eastAsia"/>
          <w:color w:val="000000"/>
          <w:sz w:val="32"/>
          <w:szCs w:val="32"/>
        </w:rPr>
      </w:pPr>
      <w:bookmarkStart w:id="107" w:name="_Toc347908088"/>
      <w:r>
        <w:rPr>
          <w:rFonts w:ascii="仿宋" w:eastAsia="仿宋" w:hAnsi="仿宋" w:cs="仿宋" w:hint="eastAsia"/>
          <w:color w:val="000000"/>
          <w:sz w:val="32"/>
          <w:szCs w:val="32"/>
        </w:rPr>
        <w:t>整个系统对时精度误差应≤</w:t>
      </w:r>
      <w:r>
        <w:rPr>
          <w:rFonts w:ascii="仿宋" w:eastAsia="仿宋" w:hAnsi="仿宋" w:cs="仿宋"/>
          <w:color w:val="000000"/>
          <w:sz w:val="32"/>
          <w:szCs w:val="32"/>
        </w:rPr>
        <w:t>1ms</w:t>
      </w:r>
      <w:bookmarkEnd w:id="107"/>
      <w:r>
        <w:rPr>
          <w:rFonts w:ascii="仿宋" w:eastAsia="仿宋" w:hAnsi="仿宋" w:cs="仿宋" w:hint="eastAsia"/>
          <w:color w:val="000000"/>
          <w:sz w:val="32"/>
          <w:szCs w:val="32"/>
        </w:rPr>
        <w:t>。</w:t>
      </w:r>
    </w:p>
    <w:p w:rsidR="007B6EE9" w:rsidRDefault="007B6EE9" w:rsidP="007B6EE9">
      <w:pPr>
        <w:spacing w:line="360" w:lineRule="auto"/>
        <w:rPr>
          <w:rFonts w:ascii="仿宋" w:eastAsia="仿宋" w:hAnsi="仿宋" w:cs="仿宋"/>
          <w:color w:val="000000"/>
          <w:sz w:val="32"/>
          <w:szCs w:val="32"/>
        </w:rPr>
      </w:pPr>
    </w:p>
    <w:p w:rsidR="007B6EE9" w:rsidRDefault="007B6EE9" w:rsidP="007B6EE9">
      <w:pPr>
        <w:rPr>
          <w:rFonts w:ascii="仿宋" w:eastAsia="仿宋" w:hAnsi="仿宋" w:cs="仿宋" w:hint="eastAsia"/>
          <w:color w:val="000000"/>
          <w:sz w:val="32"/>
          <w:szCs w:val="32"/>
        </w:rPr>
      </w:pPr>
    </w:p>
    <w:p w:rsidR="00BB5724" w:rsidRPr="007B6EE9" w:rsidRDefault="00BB5724" w:rsidP="007B6EE9">
      <w:pPr>
        <w:rPr>
          <w:szCs w:val="32"/>
        </w:rPr>
      </w:pPr>
    </w:p>
    <w:sectPr w:rsidR="00BB5724" w:rsidRPr="007B6EE9" w:rsidSect="002A177F">
      <w:pgSz w:w="11906" w:h="16838"/>
      <w:pgMar w:top="1440" w:right="1803" w:bottom="1440" w:left="1803" w:header="851" w:footer="992" w:gutter="0"/>
      <w:cols w:space="720"/>
      <w:docGrid w:type="lines" w:linePitch="31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A4A95"/>
    <w:multiLevelType w:val="multilevel"/>
    <w:tmpl w:val="14A448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">
    <w:nsid w:val="15407E69"/>
    <w:multiLevelType w:val="hybridMultilevel"/>
    <w:tmpl w:val="8974CE16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1B1477E7"/>
    <w:multiLevelType w:val="hybridMultilevel"/>
    <w:tmpl w:val="32822D5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DA28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495594"/>
    <w:multiLevelType w:val="multilevel"/>
    <w:tmpl w:val="28BF6DD7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A556886"/>
    <w:multiLevelType w:val="multilevel"/>
    <w:tmpl w:val="DEE6A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BEF59C9"/>
    <w:multiLevelType w:val="hybridMultilevel"/>
    <w:tmpl w:val="8974CE16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4EAE28D0"/>
    <w:multiLevelType w:val="hybridMultilevel"/>
    <w:tmpl w:val="E5DE25C4"/>
    <w:lvl w:ilvl="0" w:tplc="13A29CC4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0360B02"/>
    <w:multiLevelType w:val="hybridMultilevel"/>
    <w:tmpl w:val="8974CE16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31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1AE"/>
    <w:rsid w:val="00091FE0"/>
    <w:rsid w:val="0017424E"/>
    <w:rsid w:val="002A177F"/>
    <w:rsid w:val="002D01AE"/>
    <w:rsid w:val="00314221"/>
    <w:rsid w:val="00334988"/>
    <w:rsid w:val="005346C1"/>
    <w:rsid w:val="00621712"/>
    <w:rsid w:val="006F31E9"/>
    <w:rsid w:val="00730867"/>
    <w:rsid w:val="007B6EE9"/>
    <w:rsid w:val="008874E1"/>
    <w:rsid w:val="008B3D23"/>
    <w:rsid w:val="00970B74"/>
    <w:rsid w:val="0098627E"/>
    <w:rsid w:val="009E4BFB"/>
    <w:rsid w:val="00A015C3"/>
    <w:rsid w:val="00A05043"/>
    <w:rsid w:val="00B822E8"/>
    <w:rsid w:val="00BB5724"/>
    <w:rsid w:val="00D070F0"/>
    <w:rsid w:val="00D07B5F"/>
    <w:rsid w:val="00D503DB"/>
    <w:rsid w:val="00DA2003"/>
    <w:rsid w:val="00EB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1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标题,一级节名,条1,章 Char,节标题 Char,一级节名 Char,标题1 Char Char Char,H2,2nd level,h2,2,Header 2,UNDERRUBRIK 1-2,Titre2,l2,Level 2 Head,heading 2,Head 2,sect 1.2,H21,sect 1.21,H22,sect 1.22,H211,sect 1.211,H23,sect 1.23,H212,sect 1.212,Titre3,子"/>
    <w:basedOn w:val="a"/>
    <w:next w:val="a"/>
    <w:link w:val="2Char"/>
    <w:unhideWhenUsed/>
    <w:qFormat/>
    <w:rsid w:val="008B3D23"/>
    <w:pPr>
      <w:keepNext/>
      <w:widowControl/>
      <w:spacing w:before="240" w:after="60"/>
      <w:jc w:val="left"/>
      <w:outlineLvl w:val="1"/>
    </w:pPr>
    <w:rPr>
      <w:rFonts w:ascii="Cambria" w:hAnsi="Cambria"/>
      <w:b/>
      <w:bCs/>
      <w:iCs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74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标题 Char1,一级节名 Char1,条1 Char,章 Char Char,节标题 Char Char,一级节名 Char Char,标题1 Char Char Char Char,H2 Char,2nd level Char,h2 Char,2 Char,Header 2 Char,UNDERRUBRIK 1-2 Char,Titre2 Char,l2 Char,Level 2 Head Char,heading 2 Char,Head 2 Char,H21 Char"/>
    <w:basedOn w:val="a0"/>
    <w:link w:val="2"/>
    <w:uiPriority w:val="9"/>
    <w:rsid w:val="008B3D23"/>
    <w:rPr>
      <w:rFonts w:ascii="Cambria" w:eastAsia="宋体" w:hAnsi="Cambria" w:cs="Times New Roman"/>
      <w:b/>
      <w:bCs/>
      <w:i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33498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874E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2016-04-16T01:57:00Z</dcterms:created>
  <dcterms:modified xsi:type="dcterms:W3CDTF">2016-04-20T09:03:00Z</dcterms:modified>
</cp:coreProperties>
</file>