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jpg" ContentType="image/jpeg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Title"/>
        <w:spacing w:line="360" w:lineRule="auto"/>
        <w:jc w:val="center"/>
        <w:rPr>
          <w:rFonts w:hint="eastAsia"/>
          <w:sz w:val="36"/>
        </w:rPr>
      </w:pPr>
      <w:r>
        <w:rPr>
          <w:sz w:val="36"/>
          <w:color w:val="000000"/>
        </w:rPr>
        <w:t>基于FPGA的瓷砖表面缺陷筛查与模拟流水线系统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color w:val="000000"/>
          <w:sz w:val="24"/>
        </w:rPr>
        <w:t>网口送图 全PL视觉检测 正常自动通过 异常停驻复核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  <w:keepNext w:val="1"/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本作品面向固定花色瓷砖的低节拍缺陷筛查，基于PYNQ Z2构建硬件检测与模拟流水线原型。原图缩放、定点归一化、MobileNetV2特征、投影、良品参照距离和异常区域输出均在PL整数通路完成；电脑负责模拟输送、截图、网络传输、显示与记录，PS负责通信校验和控制。瓷砖进入检测区即截帧，经网口送检并继续前进；有效未报警结果自动通过，报警或结果未到的工件在复核区停止。冻结V202核心在117张公开开发图上的分数与掩膜逐值复现，内核均时124.72毫秒、传图检测501.79毫秒。新增匀速联调验证正常不停和异常复核，截图至应用结果约2.48至2.56秒。当前输入为真实照片回放、输送为电脑模拟；独立实物精度、机械动作、功耗和长稳仍待验证。</w:t>
      </w: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  <w:keepNext w:val="1"/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  <w:keepNext w:val="1"/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使用者选择已部署参照并完成工位核验后，启动真实照片队列。瓷砖匀速进入检测区，电脑截取当前瓷砖的原生像素帧，经网口交给FPGA。未报警且身份和核验有效的工件自动通过；疑似缺陷走到右侧复核区后停下，由人工确认缺陷、待定或误报。复核方式本次会话仅需确认一次。自动通过与人工复核分别记录，不能把未报警当成独立质量认证。</w:t>
      </w: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  <w:keepNext w:val="1"/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目标是固定花色和成像条件下的低节拍筛查及可追溯复检。系统先筛出疑似异常，再将人工注意力集中于报警工件；目前未实测节省工时或产能收益。公开实拍照片由电脑模拟匀速输送，尚无现场相机、实体传送带或分选装置；未知花色和光照位置变化需独立建参照与验证。</w:t>
      </w: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  <w:keepNext w:val="1"/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本作品将47步任务图映射到复用的PL计算通路，内部输入224×224、输出28×28异常网格并映射至原图。卷积权重和激活采用INT8，累加采用INT32，投影和距离使用所需的更宽整数位宽。标准卷积、深度卷积与逐点卷积共用受控执行资源，行缓存和局部累加减少重复DDR访问。定点化与数据布局均按冻结参考核对；电脑只渲染PL掩膜。</w:t>
      </w: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  <w:keepNext w:val="1"/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p w14:paraId="69DAD54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  <w:color w:val="000000"/>
        </w:rPr>
        <w:t>下表为冻结V202计算核心指标。新增流水线默认从截图点至复核区预留4秒；该时间属于模拟行进配置，不是内核耗时或生产周期。</w:t>
      </w:r>
    </w:p>
    <w:tbl>
      <w:tblPr>
        <w:tblW w:w="8300" w:type="dxa"/>
        <w:tblLayout w:type="fixed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70" w:type="dxa"/>
          <w:bottom w:w="70" w:type="dxa"/>
          <w:left w:w="90" w:type="dxa"/>
          <w:right w:w="90" w:type="dxa"/>
        </w:tblCellMar>
      </w:tblPr>
      <w:tblGrid>
        <w:gridCol w:w="3300"/>
        <w:gridCol w:w="5000"/>
      </w:tblGrid>
      <w:tr>
        <w:trPr>
          <w:cantSplit/>
          <w:tblHeader/>
        </w:trPr>
        <w:tc>
          <w:tcPr>
            <w:tcW w:w="3300" w:type="dxa"/>
            <w:vAlign w:val="center"/>
            <w:shd w:fill="EDF0F2" w:val="clea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  <w:b/>
              </w:rPr>
              <w:t xml:space="preserve">指标</w:t>
            </w:r>
          </w:p>
        </w:tc>
        <w:tc>
          <w:tcPr>
            <w:tcW w:w="5000" w:type="dxa"/>
            <w:vAlign w:val="center"/>
            <w:shd w:fill="EDF0F2" w:val="clea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  <w:b/>
              </w:rPr>
              <w:t xml:space="preserve">本轮实测或固定配置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PL时钟</w:t>
            </w:r>
          </w:p>
        </w:tc>
        <w:tc>
          <w:tcPr>
            <w:tcW w:w="50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100 MHz PS FCLK_CLK0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内部输入</w:t>
            </w:r>
          </w:p>
        </w:tc>
        <w:tc>
          <w:tcPr>
            <w:tcW w:w="50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224×224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异常网格</w:t>
            </w:r>
          </w:p>
        </w:tc>
        <w:tc>
          <w:tcPr>
            <w:tcW w:w="50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28×28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任务图</w:t>
            </w:r>
          </w:p>
        </w:tc>
        <w:tc>
          <w:tcPr>
            <w:tcW w:w="50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47步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内核均时</w:t>
            </w:r>
          </w:p>
        </w:tc>
        <w:tc>
          <w:tcPr>
            <w:tcW w:w="50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124.7 ms 117张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传输检测均时</w:t>
            </w:r>
          </w:p>
        </w:tc>
        <w:tc>
          <w:tcPr>
            <w:tcW w:w="50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501.8 ms 117张</w:t>
            </w:r>
          </w:p>
        </w:tc>
      </w:tr>
    </w:tbl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  <w:keepNext w:val="1"/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（1）完整PL整数视觉链路。将特征提取与良品参照判定共同落到受限器件上，运行时无需外置GPU执行视觉推理。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（2）资源与参数复用。以任务图组织卷积、投影与距离计算；已部署参照可切换且不重下载BIT，不同花色仍需独立建参照。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（3）检测与处置关联。工件、截图、参照、启动身份和结果绑定；未报警按明确策略自动通过，报警在复核区等待人工。过期、冲突或缺失结果不能正常放行，自动策略不伪造人工复核。</w:t>
      </w:r>
    </w:p>
    <w:tbl>
      <w:tblPr>
        <w:tblW w:w="8300" w:type="dxa"/>
        <w:tblLayout w:type="fixed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70" w:type="dxa"/>
          <w:bottom w:w="70" w:type="dxa"/>
          <w:left w:w="90" w:type="dxa"/>
          <w:right w:w="90" w:type="dxa"/>
        </w:tblCellMar>
      </w:tblPr>
      <w:tblGrid>
        <w:gridCol w:w="2300"/>
        <w:gridCol w:w="2500"/>
        <w:gridCol w:w="3500"/>
      </w:tblGrid>
      <w:tr>
        <w:trPr>
          <w:cantSplit/>
          <w:tblHeader/>
        </w:trPr>
        <w:tc>
          <w:tcPr>
            <w:tcW w:w="2300" w:type="dxa"/>
            <w:vAlign w:val="center"/>
            <w:shd w:fill="EDF0F2" w:val="clea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  <w:b/>
              </w:rPr>
              <w:t>已有基础</w:t>
            </w:r>
          </w:p>
        </w:tc>
        <w:tc>
          <w:tcPr>
            <w:tcW w:w="2500" w:type="dxa"/>
            <w:vAlign w:val="center"/>
            <w:shd w:fill="EDF0F2" w:val="clea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  <w:b/>
              </w:rPr>
              <w:t>本作品完成</w:t>
            </w:r>
          </w:p>
        </w:tc>
        <w:tc>
          <w:tcPr>
            <w:tcW w:w="3500" w:type="dxa"/>
            <w:vAlign w:val="center"/>
            <w:shd w:fill="EDF0F2" w:val="clea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  <w:b/>
              </w:rPr>
              <w:t>验证依据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公开预训练特征与异常检测思想</w:t>
            </w:r>
          </w:p>
        </w:tc>
        <w:tc>
          <w:tcPr>
            <w:tcW w:w="25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整数算术、任务图、投影及参照距离的PL实现</w:t>
            </w:r>
          </w:p>
        </w:tc>
        <w:tc>
          <w:tcPr>
            <w:tcW w:w="35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47步整图运行及117图数值核对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AMD及第三方接口IP</w:t>
            </w:r>
          </w:p>
        </w:tc>
        <w:tc>
          <w:tcPr>
            <w:tcW w:w="25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计算核集成、DDR布局、控制及结果接口</w:t>
            </w:r>
          </w:p>
        </w:tc>
        <w:tc>
          <w:tcPr>
            <w:tcW w:w="35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实现时序和匹配BIT XSA ELF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已冻结模型与参照参数</w:t>
            </w:r>
          </w:p>
        </w:tc>
        <w:tc>
          <w:tcPr>
            <w:tcW w:w="25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已部署参照切换、资格与结果绑定、复核留档</w:t>
            </w:r>
          </w:p>
        </w:tc>
        <w:tc>
          <w:tcPr>
            <w:tcW w:w="35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22次闭环回放与38次拦截</w:t>
            </w:r>
          </w:p>
        </w:tc>
      </w:tr>
    </w:tbl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  <w:keepNext w:val="1"/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623B5EE4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设计首先完成资源预算、整数算术和DDR布局，验证HLS执行单元、接口与时钟复位，再对齐板端与参考输出。单张检测稳定后接入匀速模拟输送和异常复核，分别记录内核、传图检测、截图至应用结果及人工等待，避免用一项耗时代表整个流程。</w:t>
      </w: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  <w:keepNext w:val="1"/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  <w:keepNext w:val="1"/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系统由电脑、网口传输控制、PS、DDR和PL检测器组成。电脑在瓷砖进入固定截图位置时冻结原生分辨率canvas帧并逐像素核对，解码后打包RGB；PS校验并设置地址和尺寸，PL完成全部视觉检测，再经网口返回判定与掩膜。电脑按同一工件显示红色区域并管理通过或复核。纯软件也可实现同类检测，本项目验证完整PL映射，未作同口径CPU/GPU性能功耗对照。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检测数据通过以太网双向传输；显示器可以由电脑HDMI直接连接。保留在BIT中的HDMI采集及输出模块未用于当前取帧检测，也不在板端生成当前红色显示叠加。浏览器渲染可能使用电脑GPU，但PC/GPU不执行模型推理；正常自动通过与异常停驻由电脑状态机管理。</w:t>
      </w:r>
    </w:p>
    <w:p w14:paraId="04FADC65">
      <w:pPr>
        <w:spacing w:line="240" w:lineRule="auto" w:after="0" w:before="0"/>
        <w:ind w:firstLine="0" w:firstLineChars="0" w:left="0"/>
        <w:rPr>
          <w:rFonts w:ascii="Times New Roman" w:hAnsi="Times New Roman" w:eastAsia="宋体" w:cs="Times New Roman"/>
          <w:color w:val="FF0000"/>
          <w:sz w:val="24"/>
        </w:rPr>
        <w:keepNext w:val="1"/>
        <w:widowControl w:val="1"/>
        <w:jc w:val="center"/>
      </w:pPr>
      <w:r>
        <w:rPr>
          <w:rFonts w:hint="eastAsia" w:ascii="Times New Roman" w:hAnsi="Times New Roman" w:eastAsia="宋体" w:cs="Times New Roman"/>
          <w:sz w:val="24"/>
          <w:color w:val="000000"/>
        </w:rPr>
        <w:t xml:space="preserve"/>
        <w:drawing>
          <wp:inline xmlns:a="http://schemas.openxmlformats.org/drawingml/2006/main" xmlns:pic="http://schemas.openxmlformats.org/drawingml/2006/picture" distT="0" distB="0" distL="0" distR="0">
            <wp:extent cx="5000000" cy="2846154"/>
            <wp:docPr id="1001" name="图1 检测数据通路与计算分工" descr="图1 检测数据通路与计算分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tilelab_1001.png"/>
                    <pic:cNvPicPr/>
                  </pic:nvPicPr>
                  <pic:blipFill>
                    <a:blip r:embed="rId1001"/>
                    <a:stretch>
                      <a:fillRect/>
                    </a:stretch>
                  </pic:blipFill>
                  <pic:spPr>
                    <a:xfrm>
                      <a:off x="0" y="0"/>
                      <a:ext cx="5000000" cy="284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ADC65">
      <w:pPr>
        <w:spacing w:line="240" w:lineRule="auto" w:after="120"/>
        <w:ind w:firstLine="0" w:firstLineChars="0" w:left="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  <w:jc w:val="center"/>
      </w:pPr>
      <w:r>
        <w:rPr>
          <w:rFonts w:hint="eastAsia" w:ascii="Times New Roman" w:hAnsi="Times New Roman" w:eastAsia="宋体" w:cs="Times New Roman"/>
          <w:sz w:val="22"/>
          <w:color w:val="000000"/>
        </w:rPr>
        <w:t>图1 网口检测数据通路与双屏显示分工</w:t>
      </w: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  <w:keepNext w:val="1"/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  <w:widowControl w:val="1"/>
        <w:keepNext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 xml:space="preserve">2.2.1 硬件整体介绍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平台为PYNQ Z2的xc7z020clg400 1，PL检测器与AXI控制使用100MHz PS FCLK_CLK0。V208保持V202的BIT、XSA、ELF和冻结参照哈希，不新增提频或模型训练。板上HDMI视频模块保留但未启用当前检测采集；网口核心不依赖HDMI输入像素时钟。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硬件先把原图转换至内部224×224，再执行定点归一化及特征计算。RGB首层卷积、深度卷积、1×1逐点卷积、残差和融合由任务图顺序组织，完成47步后输出有效结果。相比逐层完全展开，复用执行单元控制资源占用；代价是多阶段执行及DDR访问等待，这也是本设计需要在延迟与容量之间取舍的原因。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  <w:widowControl w:val="1"/>
        <w:keepNext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 xml:space="preserve">2.2.2 机械设计介绍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当前未制作输送带、到位传感器、制动器、推杆或分选机构。界面中的移动、复核区停止、放行与隔离均为电脑模拟和逻辑处置。真实工位还需相机触发、位置反馈、执行器确认及独立故障停机通路，不能将页面动作当成物理执行证据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  <w:widowControl w:val="1"/>
        <w:keepNext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 xml:space="preserve">2.2.3 电路及计算模块介绍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硬件计算核由C++经Vitis HLS生成RTL，与AXI、复位和约束一起完成综合布局布线，并实际下载到PL运行。作品的自主贡献包括定点算术与数据布局、任务图和执行单元组织、投影与参照距离硬件、结果接口及验证流程；不将开发板已有PCB、公开模型或厂商接口IP作为原创。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模型、RGB原图、工作区和结果按独立DDR区域分配。行缓存保留卷积窗口数据，局部累加在输出写回前复用中间值，内部128位打包组织数据搬运。片上存储和DSP余量有限，计算阶段与参数采用复用方式。上述机制解释设计如何在器件内运行，具体效率以整机资源与实测耗时报告，不将资源接近满载视为效率证明。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选用MobileNetV2预训练特征，是因为深度卷积和逐点卷积便于按器件预算复用；良品参照方法可把冻结特征与已有正常样本联系起来[1][2]。定点投影和距离为本作品的硬件简化实现，不等同于原论文，也不宣称算法首创。INT8权重及激活、INT32卷积累加和更宽后处理分开设计。低分辨率异常网格仅供区域提示；模型及数据许可另列。</w:t>
      </w:r>
    </w:p>
    <w:tbl>
      <w:tblPr>
        <w:tblW w:w="8300" w:type="dxa"/>
        <w:tblLayout w:type="fixed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70" w:type="dxa"/>
          <w:bottom w:w="70" w:type="dxa"/>
          <w:left w:w="90" w:type="dxa"/>
          <w:right w:w="90" w:type="dxa"/>
        </w:tblCellMar>
      </w:tblPr>
      <w:tblGrid>
        <w:gridCol w:w="2300"/>
        <w:gridCol w:w="2500"/>
        <w:gridCol w:w="3500"/>
      </w:tblGrid>
      <w:tr>
        <w:trPr>
          <w:cantSplit/>
          <w:tblHeader/>
        </w:trPr>
        <w:tc>
          <w:tcPr>
            <w:tcW w:w="2300" w:type="dxa"/>
            <w:vAlign w:val="center"/>
            <w:shd w:fill="EDF0F2" w:val="clea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  <w:b/>
              </w:rPr>
              <w:t xml:space="preserve">接口或区域</w:t>
            </w:r>
          </w:p>
        </w:tc>
        <w:tc>
          <w:tcPr>
            <w:tcW w:w="2500" w:type="dxa"/>
            <w:vAlign w:val="center"/>
            <w:shd w:fill="EDF0F2" w:val="clea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  <w:b/>
              </w:rPr>
              <w:t xml:space="preserve">地址</w:t>
            </w:r>
          </w:p>
        </w:tc>
        <w:tc>
          <w:tcPr>
            <w:tcW w:w="3500" w:type="dxa"/>
            <w:vAlign w:val="center"/>
            <w:shd w:fill="EDF0F2" w:val="clea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  <w:b/>
              </w:rPr>
              <w:t xml:space="preserve">用途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硬件身份</w:t>
            </w:r>
          </w:p>
        </w:tc>
        <w:tc>
          <w:tcPr>
            <w:tcW w:w="25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0x41200000</w:t>
            </w:r>
          </w:p>
        </w:tc>
        <w:tc>
          <w:tcPr>
            <w:tcW w:w="35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版本核对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推理控制</w:t>
            </w:r>
          </w:p>
        </w:tc>
        <w:tc>
          <w:tcPr>
            <w:tcW w:w="25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0x43c10000</w:t>
            </w:r>
          </w:p>
        </w:tc>
        <w:tc>
          <w:tcPr>
            <w:tcW w:w="35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地址 尺寸及启动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原图DDR</w:t>
            </w:r>
          </w:p>
        </w:tc>
        <w:tc>
          <w:tcPr>
            <w:tcW w:w="25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0x06000000</w:t>
            </w:r>
          </w:p>
        </w:tc>
        <w:tc>
          <w:tcPr>
            <w:tcW w:w="35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RGB原图字节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结果DDR</w:t>
            </w:r>
          </w:p>
        </w:tc>
        <w:tc>
          <w:tcPr>
            <w:tcW w:w="25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0x07000000</w:t>
            </w:r>
          </w:p>
        </w:tc>
        <w:tc>
          <w:tcPr>
            <w:tcW w:w="35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分数 掩膜与序号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模型DDR</w:t>
            </w:r>
          </w:p>
        </w:tc>
        <w:tc>
          <w:tcPr>
            <w:tcW w:w="25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0x08000000</w:t>
            </w:r>
          </w:p>
        </w:tc>
        <w:tc>
          <w:tcPr>
            <w:tcW w:w="35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751760字节固定模型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工作DDR</w:t>
            </w:r>
          </w:p>
        </w:tc>
        <w:tc>
          <w:tcPr>
            <w:tcW w:w="25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0x10000000</w:t>
            </w:r>
          </w:p>
        </w:tc>
        <w:tc>
          <w:tcPr>
            <w:tcW w:w="35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2408448字节特征工作区</w:t>
            </w:r>
          </w:p>
        </w:tc>
      </w:tr>
    </w:tbl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  <w:keepNext w:val="1"/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  <w:widowControl w:val="1"/>
        <w:keepNext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 xml:space="preserve">2.3.1 软件整体介绍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电脑执行动画、截图、解码、像素打包、通信、结果叠加、自动通过策略、人工复核和审计；PS执行网络、CRC和任务控制；缩放、归一化、特征、距离、阈值判定与粗异常掩膜在PL。当前只讨论运行时推理，离线训练和参照准备另计。采用PL的目的是验证可部署硬件通路，并未证明其比本机CPU/GPU更快或更省电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  <w:widowControl w:val="1"/>
        <w:keepNext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 xml:space="preserve">2.3.2 软件模块及关键变量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板端TCP端口9136使用64字节小端请求和响应头，原图按32位字打包RGB。请求含操作、序号、尺寸、长度与CRC；响应核对PL身份、模型CRC、启动编号及结果CRC。应用按截图SHA256、工件编号和帧号接受47步完整结果，不依赖跨设备对时。8793为检测核验服务，8794为流水线界面及状态服务；板卡仅由一个后端控制。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工位核验至少使用3张不同良品和1张已知缺陷，全部一致后封存，检验的是已部署参照而非训练或独立准确率。正式流程中仅当前未报警、核验有效且处置前身份一致的结果可自动通过，review字段保持空；报警工件必须人工复核。人工与PL冲突、参照变化或证据损坏撤销本批资格。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板端连接建立可有限重试；发送后的检测不盲目重放。录制期间曾出现本机HTTP通信超时，检测服务仍保留结果。恢复后增加只读状态查询短重试与本机连接队列，上传、检测、复核和处置不自动重发。新增3项保护测试及64次只读请求通过，未唯一确定原超时根因，也不据此宣称全天长稳。</w:t>
      </w:r>
    </w:p>
    <w:p w14:paraId="04FADC65">
      <w:pPr>
        <w:spacing w:line="240" w:lineRule="auto" w:after="0" w:before="0"/>
        <w:ind w:firstLine="0" w:firstLineChars="0" w:left="0"/>
        <w:rPr>
          <w:rFonts w:ascii="Times New Roman" w:hAnsi="Times New Roman" w:eastAsia="宋体" w:cs="Times New Roman"/>
          <w:color w:val="FF0000"/>
          <w:sz w:val="24"/>
        </w:rPr>
        <w:keepNext w:val="1"/>
        <w:widowControl w:val="1"/>
        <w:jc w:val="center"/>
      </w:pPr>
      <w:r>
        <w:rPr>
          <w:rFonts w:hint="eastAsia" w:ascii="Times New Roman" w:hAnsi="Times New Roman" w:eastAsia="宋体" w:cs="Times New Roman"/>
          <w:sz w:val="24"/>
          <w:color w:val="000000"/>
        </w:rPr>
        <w:t xml:space="preserve"/>
        <w:drawing>
          <wp:inline xmlns:a="http://schemas.openxmlformats.org/drawingml/2006/main" xmlns:pic="http://schemas.openxmlformats.org/drawingml/2006/picture" distT="0" distB="0" distL="0" distR="0">
            <wp:extent cx="5000000" cy="2875000"/>
            <wp:docPr id="1002" name="图2 停驻检测与确认处置状态流程" descr="图2 停驻检测与确认处置状态流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tilelab_1002.png"/>
                    <pic:cNvPicPr/>
                  </pic:nvPicPr>
                  <pic:blipFill>
                    <a:blip r:embed="rId1002"/>
                    <a:stretch>
                      <a:fillRect/>
                    </a:stretch>
                  </pic:blipFill>
                  <pic:spPr>
                    <a:xfrm>
                      <a:off x="0" y="0"/>
                      <a:ext cx="5000000" cy="28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ADC65">
      <w:pPr>
        <w:spacing w:line="240" w:lineRule="auto" w:after="120"/>
        <w:ind w:firstLine="0" w:firstLineChars="0" w:left="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  <w:jc w:val="center"/>
      </w:pPr>
      <w:r>
        <w:rPr>
          <w:rFonts w:hint="eastAsia" w:ascii="Times New Roman" w:hAnsi="Times New Roman" w:eastAsia="宋体" w:cs="Times New Roman"/>
          <w:sz w:val="22"/>
          <w:color w:val="000000"/>
        </w:rPr>
        <w:t>图2 匀速检测 自动通过与异常停驻复核流程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  <w:widowControl w:val="1"/>
        <w:keepNext w:val="1"/>
        <w:jc w:val="left"/>
      </w:pPr>
      <w:r>
        <w:rPr>
          <w:rFonts w:hint="eastAsia" w:ascii="Times New Roman" w:hAnsi="Times New Roman" w:eastAsia="宋体" w:cs="Times New Roman"/>
          <w:sz w:val="24"/>
          <w:color w:val="000000"/>
        </w:rPr>
        <w:t>2.3.3 工程包复现与结果核对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  <w:jc w:val="left"/>
      </w:pPr>
      <w:r>
        <w:rPr>
          <w:rFonts w:hint="eastAsia" w:ascii="Times New Roman" w:hAnsi="Times New Roman" w:eastAsia="宋体" w:cs="Times New Roman"/>
          <w:sz w:val="24"/>
          <w:color w:val="000000"/>
        </w:rPr>
        <w:t>使用随附V208完整工程包，先按manifest.json核对SHA256，再解压到独立目录。包中含V202冻结计算核心及新增流水线应用；源码导航、测试与复现入口见仓库docs/reproduction.md。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  <w:jc w:val="left"/>
      </w:pPr>
      <w:r>
        <w:rPr>
          <w:rFonts w:hint="eastAsia" w:ascii="Times New Roman" w:hAnsi="Times New Roman" w:eastAsia="宋体" w:cs="Times New Roman"/>
          <w:sz w:val="24"/>
          <w:color w:val="000000"/>
        </w:rPr>
        <w:t>准备Windows、PYNQ Z2、可靠供电、USB JTAG数据线和网线，安装Vivado/Vitis2025.2、板卡驱动、Python及NumPy/Pillow。电脑与板端192.168.33.10处于同网段。电脑HDMI直接连接外屏并选择扩展显示；不要求摄像头或机械装置。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  <w:jc w:val="left"/>
      </w:pPr>
      <w:r>
        <w:rPr>
          <w:rFonts w:hint="eastAsia" w:ascii="Times New Roman" w:hAnsi="Times New Roman" w:eastAsia="宋体" w:cs="Times New Roman"/>
          <w:sz w:val="24"/>
          <w:color w:val="000000"/>
        </w:rPr>
        <w:t>先运行工程包start_station.ps1 -VerifyOnly做离线文件及部署配对检查，再运行“启动流水线.cmd”。首次部署为易失JTAG下载，不写Flash；工作站复用有效会话时不重复下载。完整包自动定位本次配置，避免手写某台电脑的绝对路径。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  <w:jc w:val="left"/>
      </w:pPr>
      <w:r>
        <w:rPr>
          <w:rFonts w:hint="eastAsia" w:ascii="Times New Roman" w:hAnsi="Times New Roman" w:eastAsia="宋体" w:cs="Times New Roman"/>
          <w:sz w:val="24"/>
          <w:color w:val="000000"/>
        </w:rPr>
        <w:t>首次运行先在8793页面选择纹理砖参照，如实填写公开照片回放条件；完成3良品加1缺陷的核验并封存。之后在8794选择队列和检测区时间，未报警自动通过；报警在右侧停下，首次确认复核方式，逐件填写结论。结果迟到时保持停驻。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  <w:jc w:val="left"/>
      </w:pPr>
      <w:r>
        <w:rPr>
          <w:rFonts w:hint="eastAsia" w:ascii="Times New Roman" w:hAnsi="Times New Roman" w:eastAsia="宋体" w:cs="Times New Roman"/>
          <w:sz w:val="24"/>
          <w:color w:val="000000"/>
        </w:rPr>
        <w:t>离线运行18项流程、策略与通信保护测试；主动实板回放脚本会标注自动操作，正式本人演示不运行它。导出记录应核对截图SHA256、模型、启动身份、帧号和处置类型；自动通过不能记成人工复核。完整117图均值仍按原批次证据复算，少量新截图不能替代历史均时。</w:t>
      </w: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  <w:keepNext w:val="1"/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  <w:keepNext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 xml:space="preserve">整体介绍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  <w:widowControl w:val="1"/>
      </w:pPr>
      <w:r>
        <w:rPr>
          <w:color w:val="000000"/>
        </w:rPr>
        <w:t>当前演示由电脑、PYNQ Z2、网线、USB与外接显示器组成。下图为参赛者提供的设备实拍：外屏显示流水线，电脑提供复核操作，网口承担图像与结果传输。源照片中的裂纹真实存在，输送动画由电脑模拟。设备实拍、现场页面截图与标注非人工的自动回放分别记录。</w:t>
      </w:r>
    </w:p>
    <w:tbl>
      <w:tblPr>
        <w:tblW w:w="8300" w:type="dxa"/>
        <w:tblLayout w:type="fixed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70" w:type="dxa"/>
          <w:bottom w:w="70" w:type="dxa"/>
          <w:left w:w="90" w:type="dxa"/>
          <w:right w:w="90" w:type="dxa"/>
        </w:tblCellMar>
      </w:tblPr>
      <w:tblGrid>
        <w:gridCol w:w="4150"/>
        <w:gridCol w:w="4150"/>
      </w:tblGrid>
      <w:tr>
        <w:trPr>
          <w:cantSplit/>
          <w:tblHeader/>
        </w:trPr>
        <w:tc>
          <w:tcPr>
            <w:tcW w:w="4150" w:type="dxa"/>
            <w:vAlign w:val="center"/>
            <w:shd w:fill="EDF0F2" w:val="clea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  <w:b/>
              </w:rPr>
              <w:t>整机与双屏实拍</w:t>
            </w:r>
          </w:p>
        </w:tc>
        <w:tc>
          <w:tcPr>
            <w:tcW w:w="4150" w:type="dxa"/>
            <w:vAlign w:val="center"/>
            <w:shd w:fill="EDF0F2" w:val="clea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  <w:b/>
              </w:rPr>
              <w:t>工作站与板卡连接实拍</w:t>
            </w:r>
          </w:p>
        </w:tc>
      </w:tr>
      <w:tr>
        <w:trPr>
          <w:cantSplit/>
          <w:trHeight w:val="1500" w:hRule="atLeast"/>
        </w:trPr>
        <w:tc>
          <w:tcPr>
            <w:tcW w:w="415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4600" cy="1885950"/>
                  <wp:docPr id="2201" name="equipment_angle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01" name="equipment_angle.jpg"/>
                          <pic:cNvPicPr/>
                        </pic:nvPicPr>
                        <pic:blipFill>
                          <a:blip r:embed="rId2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18859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5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4600" cy="1885950"/>
                  <wp:docPr id="2202" name="equipment_front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02" name="equipment_front.jpg"/>
                          <pic:cNvPicPr/>
                        </pic:nvPicPr>
                        <pic:blipFill>
                          <a:blip r:embed="rId2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18859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  <w:keepNext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 xml:space="preserve">工程成果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  <w:widowControl w:val="1"/>
        <w:keepNext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 xml:space="preserve">3.2.1 机械成果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已完成真实板端视觉检测、模拟匀速入线、有效未报警自动通过、异常复核区停止、人工记录和追溯。当前放行与隔离为逻辑处置；实际相机和分选机构需要独立成像验证及到位、执行反馈，尚无物理动作验收。</w:t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  <w:widowControl w:val="1"/>
        <w:keepNext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 xml:space="preserve">3.2.2 电路成果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实现结果为LUT42 482、寄存器60 203、BRAM127.5个36Kb等效块、DSP218/220；100MHz布局布线建立余量+0.013ns，保持余量+0.024ns，DRC错误0。资源结果表明该完整链路可装入器件，也说明后续扩展余量很小。下表与耗时数据共同描述约束，不据此单独宣称资源效率领先。</w:t>
      </w:r>
    </w:p>
    <w:tbl>
      <w:tblPr>
        <w:tblW w:w="8300" w:type="dxa"/>
        <w:tblLayout w:type="fixed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70" w:type="dxa"/>
          <w:bottom w:w="70" w:type="dxa"/>
          <w:left w:w="90" w:type="dxa"/>
          <w:right w:w="90" w:type="dxa"/>
        </w:tblCellMar>
      </w:tblPr>
      <w:tblGrid>
        <w:gridCol w:w="3400"/>
        <w:gridCol w:w="2450"/>
        <w:gridCol w:w="2450"/>
      </w:tblGrid>
      <w:tr>
        <w:trPr>
          <w:cantSplit/>
          <w:tblHeader/>
        </w:trPr>
        <w:tc>
          <w:tcPr>
            <w:tcW w:w="3400" w:type="dxa"/>
            <w:vAlign w:val="center"/>
            <w:shd w:fill="EDF0F2" w:val="clea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  <w:b/>
              </w:rPr>
              <w:t xml:space="preserve">资源</w:t>
            </w:r>
          </w:p>
        </w:tc>
        <w:tc>
          <w:tcPr>
            <w:tcW w:w="2450" w:type="dxa"/>
            <w:vAlign w:val="center"/>
            <w:shd w:fill="EDF0F2" w:val="clea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  <w:b/>
              </w:rPr>
              <w:t xml:space="preserve">已用</w:t>
            </w:r>
          </w:p>
        </w:tc>
        <w:tc>
          <w:tcPr>
            <w:tcW w:w="2450" w:type="dxa"/>
            <w:vAlign w:val="center"/>
            <w:shd w:fill="EDF0F2" w:val="clea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  <w:b/>
              </w:rPr>
              <w:t xml:space="preserve">器件容量</w:t>
            </w:r>
          </w:p>
        </w:tc>
      </w:tr>
      <w:tr>
        <w:trPr>
          <w:cantSplit/>
        </w:trPr>
        <w:tc>
          <w:tcPr>
            <w:tcW w:w="34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LUT</w:t>
            </w:r>
          </w:p>
        </w:tc>
        <w:tc>
          <w:tcPr>
            <w:tcW w:w="245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42482</w:t>
            </w:r>
          </w:p>
        </w:tc>
        <w:tc>
          <w:tcPr>
            <w:tcW w:w="245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53200</w:t>
            </w:r>
          </w:p>
        </w:tc>
      </w:tr>
      <w:tr>
        <w:trPr>
          <w:cantSplit/>
        </w:trPr>
        <w:tc>
          <w:tcPr>
            <w:tcW w:w="34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寄存器</w:t>
            </w:r>
          </w:p>
        </w:tc>
        <w:tc>
          <w:tcPr>
            <w:tcW w:w="245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60203</w:t>
            </w:r>
          </w:p>
        </w:tc>
        <w:tc>
          <w:tcPr>
            <w:tcW w:w="245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106400</w:t>
            </w:r>
          </w:p>
        </w:tc>
      </w:tr>
      <w:tr>
        <w:trPr>
          <w:cantSplit/>
        </w:trPr>
        <w:tc>
          <w:tcPr>
            <w:tcW w:w="34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BRAM 36Kb等效块</w:t>
            </w:r>
          </w:p>
        </w:tc>
        <w:tc>
          <w:tcPr>
            <w:tcW w:w="245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127.5</w:t>
            </w:r>
          </w:p>
        </w:tc>
        <w:tc>
          <w:tcPr>
            <w:tcW w:w="245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140</w:t>
            </w:r>
          </w:p>
        </w:tc>
      </w:tr>
      <w:tr>
        <w:trPr>
          <w:cantSplit/>
        </w:trPr>
        <w:tc>
          <w:tcPr>
            <w:tcW w:w="34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DSP</w:t>
            </w:r>
          </w:p>
        </w:tc>
        <w:tc>
          <w:tcPr>
            <w:tcW w:w="245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218</w:t>
            </w:r>
          </w:p>
        </w:tc>
        <w:tc>
          <w:tcPr>
            <w:tcW w:w="245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 xml:space="preserve">220</w:t>
            </w:r>
          </w:p>
        </w:tc>
      </w:tr>
    </w:tbl>
    <w:p w14:paraId="04FADC65">
      <w:pPr>
        <w:spacing w:line="240" w:lineRule="auto" w:after="0" w:before="0"/>
        <w:ind w:firstLine="0" w:firstLineChars="0" w:left="0"/>
        <w:rPr>
          <w:rFonts w:ascii="Times New Roman" w:hAnsi="Times New Roman" w:eastAsia="宋体" w:cs="Times New Roman"/>
          <w:color w:val="FF0000"/>
          <w:sz w:val="24"/>
        </w:rPr>
        <w:keepNext w:val="1"/>
        <w:widowControl w:val="1"/>
        <w:jc w:val="center"/>
      </w:pPr>
      <w:r>
        <w:drawing>
          <wp:inline xmlns:a="http://schemas.openxmlformats.org/drawingml/2006/main" xmlns:pic="http://schemas.openxmlformats.org/drawingml/2006/picture">
            <wp:extent cx="4206240" cy="3154680"/>
            <wp:docPr id="2203" name="board_closeup.jp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03" name="board_closeup.jpg"/>
                    <pic:cNvPicPr/>
                  </pic:nvPicPr>
                  <pic:blipFill>
                    <a:blip r:embed="rId220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1546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4FADC65">
      <w:pPr>
        <w:spacing w:line="240" w:lineRule="auto" w:after="120"/>
        <w:ind w:firstLine="0" w:firstLineChars="0" w:left="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  <w:jc w:val="center"/>
      </w:pPr>
      <w:r>
        <w:rPr>
          <w:rFonts w:hint="eastAsia" w:ascii="Times New Roman" w:hAnsi="Times New Roman" w:eastAsia="宋体" w:cs="Times New Roman"/>
          <w:sz w:val="22"/>
          <w:color w:val="000000"/>
        </w:rPr>
        <w:t>图3 PYNQ Z2板卡与实际接口连接近照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  <w:widowControl w:val="1"/>
        <w:keepNext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 xml:space="preserve">3.2.3 软件成果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下列画面是新增匀速流水线的真实FPGA联调页面：正常照片在移动中收到未报警结果并通过；裂纹照片带着PL粗异常区域进入右侧复核区停止。电脑绘制红色叠加，不按图片编号预设结果。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保留的截图含“自动回放 非人工”标识，验证的是程序驱动的接口与流转，不冒充参赛者本人复核。来源为MVTec AD公开开发照片及实际板端输出；不是独立盲测，也不是现场相机或实体产线图。</w:t>
      </w:r>
    </w:p>
    <w:p w14:paraId="04FADC65">
      <w:pPr>
        <w:spacing w:line="240" w:lineRule="auto" w:after="0" w:before="0"/>
        <w:ind w:firstLine="0" w:firstLineChars="0" w:left="0"/>
        <w:rPr>
          <w:rFonts w:ascii="Times New Roman" w:hAnsi="Times New Roman" w:eastAsia="宋体" w:cs="Times New Roman"/>
          <w:color w:val="FF0000"/>
          <w:sz w:val="24"/>
        </w:rPr>
        <w:keepNext w:val="1"/>
        <w:widowControl w:val="1"/>
        <w:jc w:val="center"/>
      </w:pPr>
      <w:r>
        <w:rPr>
          <w:rFonts w:hint="eastAsia" w:ascii="Times New Roman" w:hAnsi="Times New Roman" w:eastAsia="宋体" w:cs="Times New Roman"/>
          <w:sz w:val="24"/>
          <w:color w:val="000000"/>
        </w:rPr>
        <w:t xml:space="preserve"/>
        <w:drawing>
          <wp:inline xmlns:a="http://schemas.openxmlformats.org/drawingml/2006/main" xmlns:pic="http://schemas.openxmlformats.org/drawingml/2006/picture" distT="0" distB="0" distL="0" distR="0">
            <wp:extent cx="5000000" cy="2794578"/>
            <wp:docPr id="1003" name="图3 实板良品开发样例 原图与FPGA结果显示" descr="图3 实板良品开发样例 原图与FPGA结果显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tilelab_1003.png"/>
                    <pic:cNvPicPr/>
                  </pic:nvPicPr>
                  <pic:blipFill>
                    <a:blip r:embed="rId1003"/>
                    <a:stretch>
                      <a:fillRect/>
                    </a:stretch>
                  </pic:blipFill>
                  <pic:spPr>
                    <a:xfrm>
                      <a:off x="0" y="0"/>
                      <a:ext cx="5000000" cy="2794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ADC65">
      <w:pPr>
        <w:spacing w:line="240" w:lineRule="auto" w:after="120"/>
        <w:ind w:firstLine="0" w:firstLineChars="0" w:left="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  <w:jc w:val="center"/>
      </w:pPr>
      <w:r>
        <w:rPr>
          <w:rFonts w:hint="eastAsia" w:ascii="Times New Roman" w:hAnsi="Times New Roman" w:eastAsia="宋体" w:cs="Times New Roman"/>
          <w:sz w:val="22"/>
          <w:color w:val="000000"/>
        </w:rPr>
        <w:t>图4 正常开发照片经实际FPGA检测后匀速自动通过</w:t>
      </w:r>
    </w:p>
    <w:p w14:paraId="04FADC65">
      <w:pPr>
        <w:spacing w:line="240" w:lineRule="auto" w:after="0" w:before="0"/>
        <w:ind w:firstLine="0" w:firstLineChars="0" w:left="0"/>
        <w:rPr>
          <w:rFonts w:ascii="Times New Roman" w:hAnsi="Times New Roman" w:eastAsia="宋体" w:cs="Times New Roman"/>
          <w:color w:val="FF0000"/>
          <w:sz w:val="24"/>
        </w:rPr>
        <w:keepNext w:val="1"/>
        <w:widowControl w:val="1"/>
        <w:jc w:val="center"/>
      </w:pPr>
      <w:r>
        <w:rPr>
          <w:rFonts w:hint="eastAsia" w:ascii="Times New Roman" w:hAnsi="Times New Roman" w:eastAsia="宋体" w:cs="Times New Roman"/>
          <w:sz w:val="24"/>
          <w:color w:val="000000"/>
        </w:rPr>
        <w:t xml:space="preserve"/>
        <w:drawing>
          <wp:inline xmlns:a="http://schemas.openxmlformats.org/drawingml/2006/main" xmlns:pic="http://schemas.openxmlformats.org/drawingml/2006/picture" distT="0" distB="0" distL="0" distR="0">
            <wp:extent cx="5000000" cy="2794578"/>
            <wp:docPr id="1004" name="图4 实板裂纹开发样例 原图与FPGA异常区域显示" descr="图4 实板裂纹开发样例 原图与FPGA异常区域显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tilelab_1004.png"/>
                    <pic:cNvPicPr/>
                  </pic:nvPicPr>
                  <pic:blipFill>
                    <a:blip r:embed="rId1004"/>
                    <a:stretch>
                      <a:fillRect/>
                    </a:stretch>
                  </pic:blipFill>
                  <pic:spPr>
                    <a:xfrm>
                      <a:off x="0" y="0"/>
                      <a:ext cx="5000000" cy="2794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ADC65">
      <w:pPr>
        <w:spacing w:line="240" w:lineRule="auto" w:after="120"/>
        <w:ind w:firstLine="0" w:firstLineChars="0" w:left="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  <w:jc w:val="center"/>
      </w:pPr>
      <w:r>
        <w:rPr>
          <w:rFonts w:hint="eastAsia" w:ascii="Times New Roman" w:hAnsi="Times New Roman" w:eastAsia="宋体" w:cs="Times New Roman"/>
          <w:sz w:val="22"/>
          <w:color w:val="000000"/>
        </w:rPr>
        <w:t>图5 裂纹开发照片经实际FPGA标记后在右侧复核区停止</w:t>
      </w:r>
    </w:p>
    <w:p w14:paraId="04FADC65">
      <w:pPr>
        <w:spacing w:line="240" w:lineRule="auto" w:after="0" w:before="0"/>
        <w:ind w:firstLine="0" w:firstLineChars="0" w:left="0"/>
        <w:rPr>
          <w:rFonts w:ascii="Times New Roman" w:hAnsi="Times New Roman" w:eastAsia="宋体" w:cs="Times New Roman"/>
          <w:color w:val="FF0000"/>
          <w:sz w:val="24"/>
        </w:rPr>
        <w:keepNext w:val="1"/>
        <w:widowControl w:val="1"/>
        <w:jc w:val="center"/>
      </w:pPr>
      <w:r>
        <w:drawing>
          <wp:inline xmlns:a="http://schemas.openxmlformats.org/drawingml/2006/main" xmlns:pic="http://schemas.openxmlformats.org/drawingml/2006/picture">
            <wp:extent cx="5257800" cy="2959206"/>
            <wp:docPr id="2204" name="participant_workstation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04" name="participant_workstation.png"/>
                    <pic:cNvPicPr/>
                  </pic:nvPicPr>
                  <pic:blipFill>
                    <a:blip r:embed="rId220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5920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4FADC65">
      <w:pPr>
        <w:spacing w:line="240" w:lineRule="auto" w:after="120"/>
        <w:ind w:firstLine="0" w:firstLineChars="0" w:left="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  <w:jc w:val="center"/>
      </w:pPr>
      <w:r>
        <w:rPr>
          <w:rFonts w:hint="eastAsia" w:ascii="Times New Roman" w:hAnsi="Times New Roman" w:eastAsia="宋体" w:cs="Times New Roman"/>
          <w:sz w:val="22"/>
          <w:color w:val="000000"/>
        </w:rPr>
        <w:t>图6 参赛者提供的现场工作站页面与复核记录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图6由参赛者提供，界面可见复核代号、当前异常工件与此前自动通过记录。它证明当前页面状态，不代替独立样本准确率或每项人工操作的完整视频核验。图4和图5仍为显式非人工联调回放。</w:t>
      </w:r>
    </w:p>
    <w:p w14:paraId="2C2E7CEF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  <w:keepNext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 xml:space="preserve">特性成果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  <w:widowControl w:val="1"/>
      </w:pPr>
      <w:r>
        <w:rPr>
          <w:color w:val="000000"/>
        </w:rPr>
        <w:t>验证分四类：冻结核心117图数值复现、公开开发图报警统计、原停驻闭环测试，以及新增匀速流程测试。标签只用于板端返回后的评价或显式自动回放，不输入PL检测请求。新增流程不代表提高了模型准确率。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117张公开开发图中，33张正常图未报警、84张缺陷图检出；全部分数和掩膜与存档逐值一致。这证明冻结部署在该开发集上的行为和数值一致性，尚不能外推未知花色、独立实物批次或像素级分割精度。实际部署必须另留独立验证集，按花色报告误报与漏检。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两套已部署参照可不更换BIT切换：纹理砖为主验证场景，陶瓦为公开照片迁移实验，不代表彩绘地砖验收。3良品加1缺陷核验不生成新模型。为避免只保留成功结果，跨材质误报、候选阈值漏检及POR失败均保存在随附记录，正式结论按实际数据范围给出。</w:t>
      </w:r>
    </w:p>
    <w:tbl>
      <w:tblPr>
        <w:tblW w:w="8300" w:type="dxa"/>
        <w:tblLayout w:type="fixed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70" w:type="dxa"/>
          <w:bottom w:w="70" w:type="dxa"/>
          <w:left w:w="90" w:type="dxa"/>
          <w:right w:w="90" w:type="dxa"/>
        </w:tblCellMar>
      </w:tblPr>
      <w:tblGrid>
        <w:gridCol w:w="3300"/>
        <w:gridCol w:w="2200"/>
        <w:gridCol w:w="2800"/>
      </w:tblGrid>
      <w:tr>
        <w:trPr>
          <w:cantSplit/>
          <w:tblHeader/>
        </w:trPr>
        <w:tc>
          <w:tcPr>
            <w:tcW w:w="3300" w:type="dxa"/>
            <w:vAlign w:val="center"/>
            <w:shd w:fill="EDF0F2" w:val="clea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  <w:b/>
              </w:rPr>
              <w:t xml:space="preserve">复核项目</w:t>
            </w:r>
          </w:p>
        </w:tc>
        <w:tc>
          <w:tcPr>
            <w:tcW w:w="2200" w:type="dxa"/>
            <w:vAlign w:val="center"/>
            <w:shd w:fill="EDF0F2" w:val="clea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  <w:b/>
              </w:rPr>
              <w:t xml:space="preserve">数量</w:t>
            </w:r>
          </w:p>
        </w:tc>
        <w:tc>
          <w:tcPr>
            <w:tcW w:w="2800" w:type="dxa"/>
            <w:vAlign w:val="center"/>
            <w:shd w:fill="EDF0F2" w:val="clea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  <w:b/>
              </w:rPr>
              <w:t xml:space="preserve">本轮结果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开发图像级判定</w:t>
            </w:r>
          </w:p>
        </w:tc>
        <w:tc>
          <w:tcPr>
            <w:tcW w:w="22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117张</w:t>
            </w:r>
          </w:p>
        </w:tc>
        <w:tc>
          <w:tcPr>
            <w:tcW w:w="28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33正常零误报 84缺陷检出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分数及原图掩膜</w:t>
            </w:r>
          </w:p>
        </w:tc>
        <w:tc>
          <w:tcPr>
            <w:tcW w:w="22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117张</w:t>
            </w:r>
          </w:p>
        </w:tc>
        <w:tc>
          <w:tcPr>
            <w:tcW w:w="28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与存档逐值一致 序号除外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完整闭环周期</w:t>
            </w:r>
          </w:p>
        </w:tc>
        <w:tc>
          <w:tcPr>
            <w:tcW w:w="22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100次</w:t>
            </w:r>
          </w:p>
        </w:tc>
        <w:tc>
          <w:tcPr>
            <w:tcW w:w="28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50次放行 50次隔离 脚本复核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非合规操作</w:t>
            </w:r>
          </w:p>
        </w:tc>
        <w:tc>
          <w:tcPr>
            <w:tcW w:w="22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38次</w:t>
            </w:r>
          </w:p>
        </w:tc>
        <w:tc>
          <w:tcPr>
            <w:tcW w:w="28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38次拒绝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117图内核均时</w:t>
            </w:r>
          </w:p>
        </w:tc>
        <w:tc>
          <w:tcPr>
            <w:tcW w:w="22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成功请求</w:t>
            </w:r>
          </w:p>
        </w:tc>
        <w:tc>
          <w:tcPr>
            <w:tcW w:w="28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124.72 ms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117图传图检测均时</w:t>
            </w:r>
          </w:p>
        </w:tc>
        <w:tc>
          <w:tcPr>
            <w:tcW w:w="22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无额外图间等待</w:t>
            </w:r>
          </w:p>
        </w:tc>
        <w:tc>
          <w:tcPr>
            <w:tcW w:w="28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0.502 s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完整周期均时</w:t>
            </w:r>
          </w:p>
        </w:tc>
        <w:tc>
          <w:tcPr>
            <w:tcW w:w="22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含0.25秒脚本复核</w:t>
            </w:r>
          </w:p>
        </w:tc>
        <w:tc>
          <w:tcPr>
            <w:tcW w:w="28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1.220 s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匀速流程实板回放</w:t>
            </w:r>
          </w:p>
        </w:tc>
        <w:tc>
          <w:tcPr>
            <w:tcW w:w="22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2正常加2裂纹</w:t>
            </w:r>
          </w:p>
        </w:tc>
        <w:tc>
          <w:tcPr>
            <w:tcW w:w="28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正常不停 异常停驻 一次勾选保留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截图至应用结果</w:t>
            </w:r>
          </w:p>
        </w:tc>
        <w:tc>
          <w:tcPr>
            <w:tcW w:w="22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少量联调</w:t>
            </w:r>
          </w:p>
        </w:tc>
        <w:tc>
          <w:tcPr>
            <w:tcW w:w="28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约2.48至2.56秒 非117图均值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默认区域行进时间</w:t>
            </w:r>
          </w:p>
        </w:tc>
        <w:tc>
          <w:tcPr>
            <w:tcW w:w="22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模拟配置</w:t>
            </w:r>
          </w:p>
        </w:tc>
        <w:tc>
          <w:tcPr>
            <w:tcW w:w="28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4秒 不等同于检测周期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离线保护测试</w:t>
            </w:r>
          </w:p>
        </w:tc>
        <w:tc>
          <w:tcPr>
            <w:tcW w:w="22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18项</w:t>
            </w:r>
          </w:p>
        </w:tc>
        <w:tc>
          <w:tcPr>
            <w:tcW w:w="2800" w:type="dxa"/>
            <w:vAlign w:val="center"/>
          </w:tcPr>
          <w:p w14:paraId="04FADC65">
            <w:pPr>
              <w:spacing w:line="280" w:lineRule="auto" w:after="0" w:before="0"/>
              <w:ind w:firstLine="0" w:firstLineChars="0" w:left="0"/>
              <w:rPr>
                <w:rFonts w:ascii="Times New Roman" w:hAnsi="Times New Roman" w:eastAsia="宋体" w:cs="Times New Roman"/>
                <w:color w:val="FF0000"/>
                <w:sz w:val="24"/>
              </w:rPr>
              <w:keepNext w:val="0"/>
              <w:widowControl w:val="1"/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color w:val="000000"/>
              </w:rPr>
              <w:t>流程15项 通信重试保护3项</w:t>
            </w:r>
          </w:p>
        </w:tc>
      </w:tr>
    </w:tbl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V202的117图内核均时124.72ms、传图检测501.79ms；原100个停驻周期均时1.220s，含0.25s脚本复核等待。新增匀速联调从canvas截帧到应用收到结果约2.48至2.56s，测量范围更宽；默认4秒为截图点至复核区的行进余量。它们均不能直接等同于真实产线吞吐。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新增实板帧号12至15连续：两张正常图无停止采样、自动通过增加2次；第一张裂纹到右侧后由显式非人工回放复核，下一张裂纹保留勾选并等待。18项离线测试通过，包含报警不能自动通过、不伪造人工意见和状态读取重试。历史V199约7.8%传输优化与V202约310秒有限稳定验证仍单列保留，不能当作本次新增准确率或长稳结论。</w:t>
      </w: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  <w:keepNext w:val="1"/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  <w:keepNext w:val="1"/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后续优先验证独立实物、固定成像条件及现场连续运行，再按工位节拍接入电机和剔除反馈。可进一步研究板端HDMI取帧及像素叠加，目前网口方案不包含该功能。功耗、成本、CPU/GPU对照和真实人工工时收益均需实测。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  <w:keepNext w:val="1"/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开发过程先完成单张照片全PL检测，再在冻结核心上接入匀速模拟流程。硬件资源决定计算复用方式，软件工件与结果绑定决定界面是否可信。自动通过与人工复核必须分开记录，既不能将缺失结果当正常，也不能将程序模拟的意见当成人工验收。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失败决定了适用边界：原冻结参照迁移至陶瓦时，20张良品全部误报，表明跨材质分布变化需要独立建参照；抬阈值候选又漏检11/12缺陷，故否决。HFENet硬件候选单张约94.6秒，未纳入交付，模型与输入不同，不能直接比较准确率。125MHz候选未稳定验收，保留100MHz；此前POR仍保留原始记录，换线后约310秒通过不能唯一证明根因或全天稳定性。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</w:pPr>
      <w:r>
        <w:rPr>
          <w:rFonts w:hint="eastAsia" w:ascii="Times New Roman" w:hAnsi="Times New Roman" w:eastAsia="宋体" w:cs="Times New Roman"/>
          <w:sz w:val="24"/>
          <w:color w:val="000000"/>
        </w:rPr>
        <w:t>当前成果是固定条件下的硬件缺陷筛查与模拟输送复核原型。完整PL视觉通路、参照核验、未报警自动通过和异常停驻可复现；尚不能据公开开发样例宣称工业质量保证、实体机械联动或独立泛化能力。</w:t>
      </w: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  <w:keepNext w:val="1"/>
        <w:pageBreakBefore w:val="1"/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  <w:widowControl w:val="1"/>
        <w:jc w:val="left"/>
      </w:pPr>
      <w:r>
        <w:rPr>
          <w:rFonts w:hint="eastAsia" w:ascii="Times New Roman" w:hAnsi="Times New Roman" w:eastAsia="宋体" w:cs="Times New Roman"/>
          <w:sz w:val="24"/>
          <w:color w:val="000000"/>
        </w:rPr>
        <w:t xml:space="preserve">[1] Sandler M, Howard A, Zhu M, et al. MobileNetV2 Inverted Residuals and Linear Bottlenecks[C]. CVPR, 2018. https://arxiv.org/abs/1801.04381.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  <w:jc w:val="left"/>
      </w:pPr>
      <w:r>
        <w:rPr>
          <w:rFonts w:hint="eastAsia" w:ascii="Times New Roman" w:hAnsi="Times New Roman" w:eastAsia="宋体" w:cs="Times New Roman"/>
          <w:sz w:val="24"/>
          <w:color w:val="000000"/>
        </w:rPr>
        <w:t xml:space="preserve">[2] Roth K, Pemula L, Zepeda J, et al. Towards Total Recall in Industrial Anomaly Detection[C]. CVPR, 2022. https://arxiv.org/abs/2106.08265.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  <w:jc w:val="left"/>
      </w:pPr>
      <w:r>
        <w:rPr>
          <w:rFonts w:hint="eastAsia" w:ascii="Times New Roman" w:hAnsi="Times New Roman" w:eastAsia="宋体" w:cs="Times New Roman"/>
          <w:sz w:val="24"/>
          <w:color w:val="000000"/>
        </w:rPr>
        <w:t xml:space="preserve">[3] MVTec Software GmbH. MVTec AD Industrial Anomaly Detection Dataset[EB/OL]. 2026-10-27. https://www.mvtec.com/research-teaching/datasets/mvtec-ad. 数据许可CC BY-NC-SA 4.0。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  <w:jc w:val="left"/>
      </w:pPr>
      <w:r>
        <w:rPr>
          <w:rFonts w:hint="eastAsia" w:ascii="Times New Roman" w:hAnsi="Times New Roman" w:eastAsia="宋体" w:cs="Times New Roman"/>
          <w:sz w:val="24"/>
          <w:color w:val="000000"/>
        </w:rPr>
        <w:t xml:space="preserve">[4] AMD. Vitis High-Level Synthesis User Guide UG1399 2025.2[EB/OL]. 2026-10-27. https://docs.amd.com/r/en-US/ug1399-vitis-hls.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  <w:keepNext w:val="0"/>
        <w:widowControl w:val="1"/>
        <w:jc w:val="left"/>
      </w:pPr>
      <w:r>
        <w:rPr>
          <w:rFonts w:hint="eastAsia" w:ascii="Times New Roman" w:hAnsi="Times New Roman" w:eastAsia="宋体" w:cs="Times New Roman"/>
          <w:sz w:val="24"/>
          <w:color w:val="000000"/>
        </w:rPr>
        <w:t xml:space="preserve">[5] RobotvisionLab. HFENet source and published checkpoint[CP/OL]. Commit 6edf57293da051a5d9d2164482f88b68ef45c11f. https://github.com/RobotvisionLab/HFENet. 仅对应未纳入交付的实验分支。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001" Type="http://schemas.openxmlformats.org/officeDocument/2006/relationships/image" Target="media/tilelab_1001.png"/><Relationship Id="rId1002" Type="http://schemas.openxmlformats.org/officeDocument/2006/relationships/image" Target="media/tilelab_1002.png"/><Relationship Id="rId1003" Type="http://schemas.openxmlformats.org/officeDocument/2006/relationships/image" Target="media/tilelab_1003.png"/><Relationship Id="rId1004" Type="http://schemas.openxmlformats.org/officeDocument/2006/relationships/image" Target="media/tilelab_1004.png"/><Relationship Id="rId2201" Type="http://schemas.openxmlformats.org/officeDocument/2006/relationships/image" Target="media/equipment_angle.jpg"/><Relationship Id="rId2202" Type="http://schemas.openxmlformats.org/officeDocument/2006/relationships/image" Target="media/equipment_front.jpg"/><Relationship Id="rId2203" Type="http://schemas.openxmlformats.org/officeDocument/2006/relationships/image" Target="media/board_closeup.jpg"/><Relationship Id="rId2204" Type="http://schemas.openxmlformats.org/officeDocument/2006/relationships/image" Target="media/participant_workstation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TileLab</dc:creator>
  <cp:lastModifiedBy>TileLab</cp:lastModifiedBy>
  <dcterms:modified xsi:type="dcterms:W3CDTF">2025-10-14T06:21:24Z</dcterms:modified>
  <cp:revision>3</cp:revision>
  <dc:title>基于FPGA的瓷砖表面缺陷停驻检测系统</dc:title>
  <dc:subject>瓷砖停驻检测工程技术报告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