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199" w:type="dxa"/>
        <w:jc w:val="left"/>
        <w:tblInd w:w="0" w:type="dxa"/>
        <w:tblBorders/>
        <w:tblCellMar>
          <w:top w:w="0" w:type="dxa"/>
          <w:left w:w="108" w:type="dxa"/>
          <w:bottom w:w="0" w:type="dxa"/>
          <w:right w:w="108" w:type="dxa"/>
        </w:tblCellMar>
        <w:tblLook w:noVBand="0" w:val="0000" w:noHBand="0" w:lastColumn="0" w:firstColumn="0" w:lastRow="0" w:firstRow="0"/>
      </w:tblPr>
      <w:tblGrid>
        <w:gridCol w:w="4410"/>
        <w:gridCol w:w="5761"/>
        <w:gridCol w:w="28"/>
      </w:tblGrid>
      <w:tr>
        <w:trPr>
          <w:trHeight w:val="1702" w:hRule="exact"/>
        </w:trPr>
        <w:tc>
          <w:tcPr>
            <w:tcW w:w="4410" w:type="dxa"/>
            <w:tcBorders/>
            <w:shd w:fill="auto" w:val="clear"/>
          </w:tcPr>
          <w:p>
            <w:pPr>
              <w:pStyle w:val="Normal"/>
              <w:rPr/>
            </w:pPr>
            <w:r>
              <w:rPr/>
              <w:drawing>
                <wp:inline distT="0" distB="0" distL="0" distR="0">
                  <wp:extent cx="1190625" cy="1009650"/>
                  <wp:effectExtent l="0" t="0" r="0" b="0"/>
                  <wp:docPr id="1" name="Picture 1" descr="C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TT Logo"/>
                          <pic:cNvPicPr>
                            <a:picLocks noChangeAspect="1" noChangeArrowheads="1"/>
                          </pic:cNvPicPr>
                        </pic:nvPicPr>
                        <pic:blipFill>
                          <a:blip r:embed="rId2"/>
                          <a:stretch>
                            <a:fillRect/>
                          </a:stretch>
                        </pic:blipFill>
                        <pic:spPr bwMode="auto">
                          <a:xfrm>
                            <a:off x="0" y="0"/>
                            <a:ext cx="1190625" cy="1009650"/>
                          </a:xfrm>
                          <a:prstGeom prst="rect">
                            <a:avLst/>
                          </a:prstGeom>
                        </pic:spPr>
                      </pic:pic>
                    </a:graphicData>
                  </a:graphic>
                </wp:inline>
              </w:drawing>
            </w:r>
          </w:p>
        </w:tc>
        <w:tc>
          <w:tcPr>
            <w:tcW w:w="5761" w:type="dxa"/>
            <w:tcBorders/>
            <w:shd w:fill="auto" w:val="clear"/>
            <w:vAlign w:val="center"/>
          </w:tcPr>
          <w:p>
            <w:pPr>
              <w:pStyle w:val="Heading1"/>
              <w:rPr/>
            </w:pPr>
            <w:r>
              <w:rPr>
                <w:sz w:val="48"/>
              </w:rPr>
              <w:t xml:space="preserve">Risk Assessment     </w:t>
            </w:r>
          </w:p>
        </w:tc>
        <w:tc>
          <w:tcPr>
            <w:tcW w:w="28" w:type="dxa"/>
            <w:tcBorders/>
            <w:shd w:fill="auto" w:val="clear"/>
          </w:tcPr>
          <w:p>
            <w:pPr>
              <w:pStyle w:val="Normal"/>
              <w:rPr/>
            </w:pPr>
            <w:r>
              <w:rPr/>
            </w:r>
          </w:p>
        </w:tc>
      </w:tr>
      <w:tr>
        <w:trPr>
          <w:trHeight w:val="440" w:hRule="exact"/>
        </w:trPr>
        <w:tc>
          <w:tcPr>
            <w:tcW w:w="4410" w:type="dxa"/>
            <w:tcBorders/>
            <w:shd w:fill="auto" w:val="clear"/>
            <w:vAlign w:val="center"/>
          </w:tcPr>
          <w:p>
            <w:pPr>
              <w:pStyle w:val="Normal"/>
              <w:rPr/>
            </w:pPr>
            <w:r>
              <w:rPr>
                <w:rFonts w:ascii="Arial" w:hAnsi="Arial"/>
                <w:b/>
              </w:rPr>
              <w:t>Course/Road(s) Assessed: F2/50</w:t>
            </w:r>
          </w:p>
        </w:tc>
        <w:tc>
          <w:tcPr>
            <w:tcW w:w="5761" w:type="dxa"/>
            <w:tcBorders/>
            <w:shd w:fill="auto" w:val="clear"/>
            <w:vAlign w:val="center"/>
          </w:tcPr>
          <w:p>
            <w:pPr>
              <w:pStyle w:val="Normal"/>
              <w:rPr/>
            </w:pPr>
            <w:r>
              <w:rPr>
                <w:rFonts w:ascii="Arial" w:hAnsi="Arial"/>
                <w:b/>
                <w:bCs/>
                <w:sz w:val="20"/>
              </w:rPr>
              <w:t>Assessor: Chris Dyason 8 May 2021</w:t>
            </w:r>
          </w:p>
        </w:tc>
        <w:tc>
          <w:tcPr>
            <w:tcW w:w="28" w:type="dxa"/>
            <w:tcBorders/>
            <w:shd w:fill="auto" w:val="clear"/>
          </w:tcPr>
          <w:p>
            <w:pPr>
              <w:pStyle w:val="Normal"/>
              <w:rPr/>
            </w:pPr>
            <w:r>
              <w:rPr/>
            </w:r>
          </w:p>
        </w:tc>
      </w:tr>
      <w:tr>
        <w:trPr>
          <w:trHeight w:val="468" w:hRule="exact"/>
        </w:trPr>
        <w:tc>
          <w:tcPr>
            <w:tcW w:w="4410" w:type="dxa"/>
            <w:tcBorders/>
            <w:shd w:fill="auto" w:val="clear"/>
            <w:vAlign w:val="center"/>
          </w:tcPr>
          <w:p>
            <w:pPr>
              <w:pStyle w:val="Normal"/>
              <w:rPr/>
            </w:pPr>
            <w:r>
              <w:rPr>
                <w:rFonts w:ascii="Arial" w:hAnsi="Arial"/>
                <w:b/>
                <w:bCs/>
              </w:rPr>
              <w:t>Course: Local to Cambourne, Cambridge</w:t>
            </w:r>
          </w:p>
        </w:tc>
        <w:tc>
          <w:tcPr>
            <w:tcW w:w="5761" w:type="dxa"/>
            <w:tcBorders/>
            <w:shd w:fill="auto" w:val="clear"/>
            <w:vAlign w:val="center"/>
          </w:tcPr>
          <w:p>
            <w:pPr>
              <w:pStyle w:val="Normal"/>
              <w:rPr/>
            </w:pPr>
            <w:r>
              <w:rPr>
                <w:rFonts w:ascii="Arial" w:hAnsi="Arial"/>
                <w:b/>
              </w:rPr>
              <w:t>Updated: Ken Miller 1</w:t>
            </w:r>
            <w:r>
              <w:rPr>
                <w:rFonts w:ascii="Arial" w:hAnsi="Arial"/>
                <w:b/>
              </w:rPr>
              <w:t>3</w:t>
            </w:r>
            <w:r>
              <w:rPr>
                <w:rFonts w:ascii="Arial" w:hAnsi="Arial"/>
                <w:b/>
              </w:rPr>
              <w:t xml:space="preserve"> October 2021</w:t>
            </w:r>
          </w:p>
        </w:tc>
        <w:tc>
          <w:tcPr>
            <w:tcW w:w="28" w:type="dxa"/>
            <w:tcBorders/>
            <w:shd w:fill="auto" w:val="clear"/>
          </w:tcPr>
          <w:p>
            <w:pPr>
              <w:pStyle w:val="Normal"/>
              <w:rPr/>
            </w:pPr>
            <w:r>
              <w:rPr/>
            </w:r>
          </w:p>
        </w:tc>
      </w:tr>
      <w:tr>
        <w:trPr>
          <w:trHeight w:val="440" w:hRule="exact"/>
        </w:trPr>
        <w:tc>
          <w:tcPr>
            <w:tcW w:w="4410" w:type="dxa"/>
            <w:tcBorders/>
            <w:shd w:fill="auto" w:val="clear"/>
            <w:vAlign w:val="center"/>
          </w:tcPr>
          <w:p>
            <w:pPr>
              <w:pStyle w:val="Normal"/>
              <w:rPr>
                <w:rFonts w:ascii="Arial" w:hAnsi="Arial"/>
                <w:b/>
                <w:b/>
                <w:bCs/>
                <w:sz w:val="20"/>
              </w:rPr>
            </w:pPr>
            <w:r>
              <w:rPr/>
            </w:r>
          </w:p>
        </w:tc>
        <w:tc>
          <w:tcPr>
            <w:tcW w:w="5761" w:type="dxa"/>
            <w:tcBorders/>
            <w:shd w:fill="auto" w:val="clear"/>
            <w:vAlign w:val="center"/>
          </w:tcPr>
          <w:p>
            <w:pPr>
              <w:pStyle w:val="Heading2"/>
              <w:rPr>
                <w:rFonts w:ascii="Arial" w:hAnsi="Arial"/>
                <w:b/>
                <w:b/>
              </w:rPr>
            </w:pPr>
            <w:r>
              <w:rPr>
                <w:b/>
                <w:sz w:val="20"/>
              </w:rPr>
              <w:t>Reviewed: Chris Dyason 1</w:t>
            </w:r>
            <w:r>
              <w:rPr>
                <w:b/>
                <w:sz w:val="20"/>
              </w:rPr>
              <w:t>4</w:t>
            </w:r>
            <w:r>
              <w:rPr>
                <w:b/>
                <w:sz w:val="20"/>
              </w:rPr>
              <w:t xml:space="preserve"> October 2021</w:t>
            </w:r>
          </w:p>
        </w:tc>
        <w:tc>
          <w:tcPr>
            <w:tcW w:w="28" w:type="dxa"/>
            <w:tcBorders/>
            <w:shd w:fill="auto" w:val="clear"/>
          </w:tcPr>
          <w:p>
            <w:pPr>
              <w:pStyle w:val="Normal"/>
              <w:rPr/>
            </w:pPr>
            <w:r>
              <w:rPr/>
            </w:r>
          </w:p>
        </w:tc>
      </w:tr>
      <w:tr>
        <w:trPr/>
        <w:tc>
          <w:tcPr>
            <w:tcW w:w="10199" w:type="dxa"/>
            <w:gridSpan w:val="3"/>
            <w:tcBorders/>
            <w:shd w:fill="auto" w:val="clear"/>
          </w:tcPr>
          <w:p>
            <w:pPr>
              <w:pStyle w:val="Normal"/>
              <w:rPr/>
            </w:pPr>
            <w:r>
              <w:rPr>
                <w:rFonts w:ascii="Arial" w:hAnsi="Arial"/>
                <w:b/>
              </w:rPr>
              <w:t xml:space="preserve">Course Description:  </w:t>
            </w:r>
            <w:r>
              <w:rPr>
                <w:rFonts w:cs="Arial" w:ascii="Arial" w:hAnsi="Arial"/>
                <w:sz w:val="18"/>
                <w:szCs w:val="18"/>
                <w:shd w:fill="FFFFFF" w:val="clear"/>
              </w:rPr>
              <w:t xml:space="preserve">Start (Grid Ref: - </w:t>
            </w:r>
            <w:hyperlink r:id="rId3">
              <w:r>
                <w:rPr>
                  <w:rStyle w:val="VisitedInternetLink"/>
                  <w:rFonts w:cs="Arial" w:ascii="Arial" w:hAnsi="Arial"/>
                  <w:sz w:val="18"/>
                  <w:szCs w:val="18"/>
                  <w:highlight w:val="white"/>
                </w:rPr>
                <w:t>TL3523859808</w:t>
              </w:r>
            </w:hyperlink>
            <w:r>
              <w:rPr>
                <w:rFonts w:cs="Arial" w:ascii="Arial" w:hAnsi="Arial"/>
                <w:sz w:val="18"/>
                <w:szCs w:val="18"/>
                <w:shd w:fill="FFFFFF" w:val="clear"/>
              </w:rPr>
              <w:t>) at paint mark about 25 yards short of second expansion joint in road surface of bridge where eastbound St Neots Road crosses over A428 dual carriageway - about 250 metres east of Highfields Caldecote roundabout (RAB). Proceed eastwards straight over (1</w:t>
            </w:r>
            <w:r>
              <w:rPr>
                <w:rFonts w:cs="Arial" w:ascii="Arial" w:hAnsi="Arial"/>
                <w:sz w:val="18"/>
                <w:szCs w:val="18"/>
                <w:shd w:fill="FFFFFF" w:val="clear"/>
                <w:vertAlign w:val="superscript"/>
              </w:rPr>
              <w:t>st</w:t>
            </w:r>
            <w:r>
              <w:rPr>
                <w:rFonts w:cs="Arial" w:ascii="Arial" w:hAnsi="Arial"/>
                <w:sz w:val="18"/>
                <w:szCs w:val="18"/>
                <w:shd w:fill="FFFFFF" w:val="clear"/>
              </w:rPr>
              <w:t xml:space="preserve"> exit) Caldecote RAB to Hardwick RAB where sharp left, 1</w:t>
            </w:r>
            <w:r>
              <w:rPr>
                <w:rFonts w:cs="Arial" w:ascii="Arial" w:hAnsi="Arial"/>
                <w:sz w:val="18"/>
                <w:szCs w:val="18"/>
                <w:shd w:fill="FFFFFF" w:val="clear"/>
                <w:vertAlign w:val="superscript"/>
              </w:rPr>
              <w:t>st</w:t>
            </w:r>
            <w:r>
              <w:rPr>
                <w:rFonts w:cs="Arial" w:ascii="Arial" w:hAnsi="Arial"/>
                <w:sz w:val="18"/>
                <w:szCs w:val="18"/>
                <w:shd w:fill="FFFFFF" w:val="clear"/>
              </w:rPr>
              <w:t xml:space="preserve"> exit, onto A428 westbound. Pass Cambourne junction to </w:t>
            </w:r>
          </w:p>
          <w:p>
            <w:pPr>
              <w:pStyle w:val="Normal"/>
              <w:rPr/>
            </w:pPr>
            <w:r>
              <w:rPr>
                <w:rFonts w:cs="Arial" w:ascii="Arial" w:hAnsi="Arial"/>
                <w:sz w:val="18"/>
                <w:szCs w:val="18"/>
                <w:shd w:fill="FFFFFF" w:val="clear"/>
              </w:rPr>
              <w:t xml:space="preserve">TURN (5.4 miles) at Caxton Gibbett RAB and retrace A428 eastbound passing Cambourne and Hardwick junctions to exit at slip to Madingley RAB (signed Cambridge) where take 4th exit to A428 westbound.  Continue past Hardwick and Cambourne junctions to </w:t>
            </w:r>
          </w:p>
          <w:p>
            <w:pPr>
              <w:pStyle w:val="Normal"/>
              <w:rPr/>
            </w:pPr>
            <w:r>
              <w:rPr>
                <w:rFonts w:cs="Arial" w:ascii="Arial" w:hAnsi="Arial"/>
                <w:sz w:val="18"/>
                <w:szCs w:val="18"/>
                <w:shd w:fill="FFFFFF" w:val="clear"/>
              </w:rPr>
              <w:t>TURN (18.0 miles) at Caxton Gibbett RAB, then repeat via Madingley RAB onto third lap to</w:t>
            </w:r>
          </w:p>
          <w:p>
            <w:pPr>
              <w:pStyle w:val="Normal"/>
              <w:rPr/>
            </w:pPr>
            <w:r>
              <w:rPr>
                <w:rFonts w:cs="Arial" w:ascii="Arial" w:hAnsi="Arial"/>
                <w:sz w:val="18"/>
                <w:szCs w:val="18"/>
                <w:shd w:fill="FFFFFF" w:val="clear"/>
              </w:rPr>
              <w:t>TURN (30.6 miles) at Caxton Gibbett RAB, then repeat via Madingley RAB onto fourth lap to</w:t>
            </w:r>
          </w:p>
          <w:p>
            <w:pPr>
              <w:pStyle w:val="Normal"/>
              <w:rPr/>
            </w:pPr>
            <w:r>
              <w:rPr>
                <w:rFonts w:cs="Arial" w:ascii="Arial" w:hAnsi="Arial"/>
                <w:sz w:val="18"/>
                <w:szCs w:val="18"/>
                <w:shd w:fill="FFFFFF" w:val="clear"/>
              </w:rPr>
              <w:t xml:space="preserve">TURN (43.2 miles) at Caxton Gibbet RAB, then return to Madingley RAB, but </w:t>
            </w:r>
            <w:r>
              <w:rPr>
                <w:rFonts w:cs="Arial" w:ascii="Arial" w:hAnsi="Arial"/>
                <w:b/>
                <w:bCs/>
                <w:sz w:val="18"/>
                <w:szCs w:val="18"/>
                <w:shd w:fill="FFFFFF" w:val="clear"/>
              </w:rPr>
              <w:t>TAKE THE 3</w:t>
            </w:r>
            <w:r>
              <w:rPr>
                <w:rFonts w:cs="Arial" w:ascii="Arial" w:hAnsi="Arial"/>
                <w:b/>
                <w:bCs/>
                <w:sz w:val="18"/>
                <w:szCs w:val="18"/>
                <w:shd w:fill="FFFFFF" w:val="clear"/>
                <w:vertAlign w:val="superscript"/>
              </w:rPr>
              <w:t>rd</w:t>
            </w:r>
            <w:r>
              <w:rPr>
                <w:rFonts w:cs="Arial" w:ascii="Arial" w:hAnsi="Arial"/>
                <w:b/>
                <w:bCs/>
                <w:sz w:val="18"/>
                <w:szCs w:val="18"/>
                <w:shd w:fill="FFFFFF" w:val="clear"/>
              </w:rPr>
              <w:t xml:space="preserve"> EXIT</w:t>
            </w:r>
            <w:r>
              <w:rPr>
                <w:rFonts w:cs="Arial" w:ascii="Arial" w:hAnsi="Arial"/>
                <w:sz w:val="18"/>
                <w:szCs w:val="18"/>
                <w:shd w:fill="FFFFFF" w:val="clear"/>
              </w:rPr>
              <w:t xml:space="preserve"> (the one before the A428 slip) onto St Neots Road to</w:t>
            </w:r>
          </w:p>
          <w:p>
            <w:pPr>
              <w:pStyle w:val="Normal"/>
              <w:rPr/>
            </w:pPr>
            <w:r>
              <w:rPr>
                <w:rFonts w:cs="Arial" w:ascii="Arial" w:hAnsi="Arial"/>
                <w:sz w:val="18"/>
                <w:szCs w:val="18"/>
                <w:shd w:fill="FFFFFF" w:val="clear"/>
              </w:rPr>
              <w:t>FINISH about half a mile along St Neots Road [Exact finish point subject to course measuring]</w:t>
            </w:r>
          </w:p>
          <w:p>
            <w:pPr>
              <w:pStyle w:val="Normal"/>
              <w:rPr/>
            </w:pPr>
            <w:r>
              <w:rPr>
                <w:rFonts w:cs="Arial" w:ascii="Arial" w:hAnsi="Arial"/>
                <w:b/>
                <w:bCs/>
                <w:sz w:val="18"/>
                <w:szCs w:val="18"/>
                <w:shd w:fill="FFFFFF" w:val="clear"/>
              </w:rPr>
              <w:t>Course map</w:t>
            </w:r>
            <w:r>
              <w:rPr>
                <w:rFonts w:cs="Arial" w:ascii="Arial" w:hAnsi="Arial"/>
                <w:sz w:val="18"/>
                <w:szCs w:val="18"/>
                <w:shd w:fill="FFFFFF" w:val="clear"/>
              </w:rPr>
              <w:t xml:space="preserve"> </w:t>
            </w:r>
            <w:hyperlink r:id="rId4">
              <w:r>
                <w:rPr>
                  <w:rStyle w:val="InternetLink"/>
                  <w:rFonts w:cs="Arial" w:ascii="Arial" w:hAnsi="Arial"/>
                  <w:sz w:val="18"/>
                  <w:szCs w:val="18"/>
                  <w:highlight w:val="white"/>
                </w:rPr>
                <w:t>https://ridewithgps.com/routes/37743520</w:t>
              </w:r>
            </w:hyperlink>
          </w:p>
        </w:tc>
      </w:tr>
    </w:tbl>
    <w:p>
      <w:pPr>
        <w:pStyle w:val="Normal"/>
        <w:rPr/>
      </w:pPr>
      <w:r>
        <w:rPr/>
      </w:r>
    </w:p>
    <w:tbl>
      <w:tblPr>
        <w:tblW w:w="1019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0" w:val="01e0" w:noHBand="0" w:lastColumn="1" w:firstColumn="1" w:lastRow="1" w:firstRow="1"/>
      </w:tblPr>
      <w:tblGrid>
        <w:gridCol w:w="10194"/>
      </w:tblGrid>
      <w:tr>
        <w:trPr>
          <w:trHeight w:val="360" w:hRule="atLeast"/>
        </w:trPr>
        <w:tc>
          <w:tcPr>
            <w:tcW w:w="1019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b/>
              </w:rPr>
              <w:t xml:space="preserve">Course/Event History: </w:t>
            </w:r>
            <w:r>
              <w:rPr>
                <w:rFonts w:ascii="Arial" w:hAnsi="Arial"/>
                <w:bCs/>
              </w:rPr>
              <w:t>New course 2021 but</w:t>
            </w:r>
            <w:r>
              <w:rPr>
                <w:rFonts w:ascii="Arial" w:hAnsi="Arial"/>
                <w:b/>
              </w:rPr>
              <w:t xml:space="preserve"> </w:t>
            </w:r>
            <w:r>
              <w:rPr>
                <w:rFonts w:ascii="Arial" w:hAnsi="Arial"/>
                <w:bCs/>
              </w:rPr>
              <w:t>this section of the A428 is used for several courses.</w:t>
            </w:r>
          </w:p>
        </w:tc>
      </w:tr>
    </w:tbl>
    <w:p>
      <w:pPr>
        <w:pStyle w:val="Normal"/>
        <w:rPr>
          <w:rFonts w:ascii="Arial" w:hAnsi="Arial"/>
          <w:sz w:val="20"/>
          <w:szCs w:val="22"/>
        </w:rPr>
      </w:pPr>
      <w:r>
        <w:rPr>
          <w:rFonts w:ascii="Arial" w:hAnsi="Arial"/>
          <w:sz w:val="20"/>
          <w:szCs w:val="22"/>
        </w:rPr>
      </w:r>
    </w:p>
    <w:p>
      <w:pPr>
        <w:pStyle w:val="Normal"/>
        <w:rPr/>
      </w:pPr>
      <w:r>
        <w:rPr>
          <w:rFonts w:ascii="Arial" w:hAnsi="Arial"/>
          <w:b/>
          <w:sz w:val="24"/>
          <w:szCs w:val="24"/>
        </w:rPr>
        <w:t>Key Identified Risks</w:t>
      </w:r>
    </w:p>
    <w:p>
      <w:pPr>
        <w:pStyle w:val="Normal"/>
        <w:rPr>
          <w:rFonts w:ascii="Arial" w:hAnsi="Arial"/>
          <w:sz w:val="20"/>
          <w:szCs w:val="22"/>
        </w:rPr>
      </w:pPr>
      <w:r>
        <w:rPr>
          <w:rFonts w:ascii="Arial" w:hAnsi="Arial"/>
          <w:sz w:val="20"/>
          <w:szCs w:val="22"/>
        </w:rPr>
      </w:r>
    </w:p>
    <w:tbl>
      <w:tblPr>
        <w:tblW w:w="10425"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0" w:val="0000" w:noHBand="0" w:lastColumn="0" w:firstColumn="0" w:lastRow="0" w:firstRow="0"/>
      </w:tblPr>
      <w:tblGrid>
        <w:gridCol w:w="450"/>
        <w:gridCol w:w="3059"/>
        <w:gridCol w:w="2410"/>
        <w:gridCol w:w="1101"/>
        <w:gridCol w:w="3405"/>
      </w:tblGrid>
      <w:tr>
        <w:trPr>
          <w:trHeight w:val="60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Arial" w:hAnsi="Arial"/>
                <w:b/>
                <w:b/>
              </w:rPr>
            </w:pPr>
            <w:r>
              <w:rPr>
                <w:rFonts w:ascii="Arial" w:hAnsi="Arial"/>
                <w:b/>
              </w:rPr>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Heading3"/>
              <w:jc w:val="center"/>
              <w:rPr/>
            </w:pPr>
            <w:r>
              <w:rPr/>
            </w:r>
          </w:p>
          <w:p>
            <w:pPr>
              <w:pStyle w:val="Heading3"/>
              <w:jc w:val="center"/>
              <w:rPr/>
            </w:pPr>
            <w:r>
              <w:rPr/>
              <w:t>Location</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Arial" w:hAnsi="Arial"/>
                <w:b/>
                <w:b/>
              </w:rPr>
            </w:pPr>
            <w:r>
              <w:rPr>
                <w:rFonts w:ascii="Arial" w:hAnsi="Arial"/>
                <w:b/>
              </w:rPr>
              <w:t>Identified Significant Risk/Hazards</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ascii="Arial" w:hAnsi="Arial"/>
                <w:b/>
              </w:rPr>
              <w:t>Risk</w:t>
              <w:br/>
              <w:t>L/M/H</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Heading4"/>
              <w:rPr/>
            </w:pPr>
            <w:r>
              <w:rPr/>
              <w:t>Measures to reduce Risk</w:t>
              <w:br/>
            </w:r>
            <w:r>
              <w:rPr>
                <w:b w:val="false"/>
              </w:rPr>
              <w:t>(if applicable)</w:t>
            </w:r>
          </w:p>
        </w:tc>
      </w:tr>
      <w:tr>
        <w:trPr>
          <w:trHeight w:val="57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8"/>
                <w:szCs w:val="18"/>
              </w:rPr>
              <w:t>1</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shd w:fill="FFFFFF" w:val="clear"/>
              </w:rPr>
              <w:t xml:space="preserve">General requirements </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8"/>
                <w:szCs w:val="18"/>
              </w:rPr>
              <w:t>Time of road usage meets CTT Traffic Standards.</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Arial" w:hAnsi="Arial"/>
                <w:sz w:val="18"/>
                <w:szCs w:val="18"/>
              </w:rPr>
            </w:pPr>
            <w:r>
              <w:rPr>
                <w:rFonts w:ascii="Arial" w:hAnsi="Arial"/>
                <w:sz w:val="18"/>
                <w:szCs w:val="18"/>
              </w:rPr>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8"/>
                <w:szCs w:val="18"/>
              </w:rPr>
              <w:t>Traffic counts to be carried out if instructed by District Committee.</w:t>
            </w:r>
          </w:p>
        </w:tc>
      </w:tr>
      <w:tr>
        <w:trPr>
          <w:trHeight w:val="162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8"/>
                <w:szCs w:val="18"/>
              </w:rPr>
              <w:t>2</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bCs/>
                <w:sz w:val="18"/>
                <w:szCs w:val="18"/>
              </w:rPr>
              <w:t>General requirements</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8"/>
                <w:szCs w:val="18"/>
              </w:rPr>
              <w:t>Vehicle drivers not observing competitors.</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ascii="Arial" w:hAnsi="Arial"/>
                <w:sz w:val="18"/>
                <w:szCs w:val="18"/>
              </w:rPr>
              <w:t>High</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8"/>
                <w:szCs w:val="18"/>
              </w:rPr>
              <w:t>No competitor shall be permitted to start the event unless such competitor has affixed to the rear of their machine a working rear red light, either flashing or constant, that is illuminated and in a position that is clearly visible to other road users.</w:t>
            </w:r>
          </w:p>
        </w:tc>
      </w:tr>
      <w:tr>
        <w:trPr>
          <w:trHeight w:val="54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6"/>
                <w:szCs w:val="16"/>
              </w:rPr>
              <w:t>3</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shd w:fill="FFFFFF" w:val="clear"/>
              </w:rPr>
              <w:t>Before Start</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8"/>
                <w:szCs w:val="18"/>
              </w:rPr>
              <w:t>Competitors riding from HQ and warming up.</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ascii="Arial" w:hAnsi="Arial"/>
                <w:sz w:val="18"/>
                <w:szCs w:val="18"/>
              </w:rPr>
              <w:t>Medium</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8"/>
                <w:szCs w:val="18"/>
              </w:rPr>
              <w:t>Cycle Event warning signs as required at HQ.</w:t>
            </w:r>
          </w:p>
        </w:tc>
      </w:tr>
      <w:tr>
        <w:trPr>
          <w:trHeight w:val="144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4</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shd w:fill="FFFFFF" w:val="clear"/>
              </w:rPr>
              <w:t>Start</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Competitor and/or pusher falling.</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Medium</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KICKSTAND Cycle Event warning signs east and west of start location.  Instructions on Start Sheet regarding conduct at start, prohibited areas for warming up and a warning that U-turns are not allowed within sight of the start.</w:t>
            </w:r>
          </w:p>
        </w:tc>
      </w:tr>
      <w:tr>
        <w:trPr>
          <w:trHeight w:val="72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5</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Caldecote RAB</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Competitors negotiating RAB.</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Low</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 xml:space="preserve">SMALL Cycle Event warning sign on road from Caldecote on approach to RAB. </w:t>
            </w:r>
          </w:p>
        </w:tc>
      </w:tr>
      <w:tr>
        <w:trPr>
          <w:trHeight w:val="99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6</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Hardwick RAB (south)</w:t>
            </w:r>
          </w:p>
          <w:p>
            <w:pPr>
              <w:pStyle w:val="Normal"/>
              <w:rPr>
                <w:rFonts w:ascii="Arial" w:hAnsi="Arial" w:cs="Arial"/>
                <w:sz w:val="18"/>
                <w:szCs w:val="18"/>
              </w:rPr>
            </w:pPr>
            <w:r>
              <w:rPr>
                <w:rFonts w:cs="Arial" w:ascii="Arial" w:hAnsi="Arial"/>
                <w:sz w:val="18"/>
                <w:szCs w:val="18"/>
              </w:rPr>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Competitors negotiating RAB. Competitors taking 1</w:t>
            </w:r>
            <w:r>
              <w:rPr>
                <w:rFonts w:cs="Arial" w:ascii="Arial" w:hAnsi="Arial"/>
                <w:sz w:val="18"/>
                <w:szCs w:val="18"/>
                <w:vertAlign w:val="superscript"/>
              </w:rPr>
              <w:t>st</w:t>
            </w:r>
            <w:r>
              <w:rPr>
                <w:rFonts w:cs="Arial" w:ascii="Arial" w:hAnsi="Arial"/>
                <w:sz w:val="18"/>
                <w:szCs w:val="18"/>
              </w:rPr>
              <w:t xml:space="preserve"> exit onto slip to A428 westbound.</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Low</w:t>
            </w:r>
          </w:p>
          <w:p>
            <w:pPr>
              <w:pStyle w:val="Normal"/>
              <w:jc w:val="center"/>
              <w:rPr>
                <w:rFonts w:ascii="Arial" w:hAnsi="Arial" w:cs="Arial"/>
                <w:sz w:val="18"/>
                <w:szCs w:val="18"/>
              </w:rPr>
            </w:pPr>
            <w:r>
              <w:rPr>
                <w:rFonts w:cs="Arial" w:ascii="Arial" w:hAnsi="Arial"/>
                <w:sz w:val="18"/>
                <w:szCs w:val="18"/>
              </w:rPr>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 xml:space="preserve">SMALL Cycle Event warning signs on </w:t>
            </w:r>
            <w:r>
              <w:rPr>
                <w:rFonts w:cs="Arial" w:ascii="Arial" w:hAnsi="Arial"/>
                <w:sz w:val="18"/>
                <w:szCs w:val="18"/>
              </w:rPr>
              <w:t>the 3</w:t>
            </w:r>
            <w:r>
              <w:rPr>
                <w:rFonts w:cs="Arial" w:ascii="Arial" w:hAnsi="Arial"/>
                <w:sz w:val="18"/>
                <w:szCs w:val="18"/>
              </w:rPr>
              <w:t xml:space="preserve"> roads approaching </w:t>
            </w:r>
            <w:r>
              <w:rPr>
                <w:rFonts w:cs="Arial" w:ascii="Arial" w:hAnsi="Arial"/>
                <w:sz w:val="18"/>
                <w:szCs w:val="18"/>
              </w:rPr>
              <w:t xml:space="preserve">the </w:t>
            </w:r>
            <w:r>
              <w:rPr>
                <w:rFonts w:cs="Arial" w:ascii="Arial" w:hAnsi="Arial"/>
                <w:sz w:val="18"/>
                <w:szCs w:val="18"/>
              </w:rPr>
              <w:t>RAB.</w:t>
            </w:r>
          </w:p>
          <w:p>
            <w:pPr>
              <w:pStyle w:val="Normal"/>
              <w:rPr/>
            </w:pPr>
            <w:r>
              <w:rPr>
                <w:rFonts w:cs="Arial" w:ascii="Arial" w:hAnsi="Arial"/>
                <w:b/>
                <w:bCs/>
                <w:sz w:val="18"/>
                <w:szCs w:val="18"/>
              </w:rPr>
              <w:t xml:space="preserve">Marshal </w:t>
            </w:r>
            <w:r>
              <w:rPr>
                <w:rFonts w:cs="Arial" w:ascii="Arial" w:hAnsi="Arial"/>
                <w:sz w:val="18"/>
                <w:szCs w:val="18"/>
              </w:rPr>
              <w:t>wearing high-vis jacket to be stationed at exit from RAB.</w:t>
            </w:r>
          </w:p>
        </w:tc>
      </w:tr>
      <w:tr>
        <w:trPr>
          <w:trHeight w:val="126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7</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Entry slip onto A428</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Spear-point junction merging with the A428, competitors joining dual carriageway.</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High</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MEDIUM Cycle Event warning sign on the slip prior to the intersection.</w:t>
            </w:r>
          </w:p>
          <w:p>
            <w:pPr>
              <w:pStyle w:val="Normal"/>
              <w:rPr/>
            </w:pPr>
            <w:r>
              <w:rPr>
                <w:rFonts w:cs="Arial" w:ascii="Arial" w:hAnsi="Arial"/>
                <w:sz w:val="18"/>
                <w:szCs w:val="18"/>
              </w:rPr>
              <w:t>LARGE (triangle) CYCLE EVENT warning sign on the A428 prior to the intersection.</w:t>
            </w:r>
          </w:p>
        </w:tc>
      </w:tr>
      <w:tr>
        <w:trPr>
          <w:trHeight w:val="54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8</w:t>
            </w:r>
          </w:p>
          <w:p>
            <w:pPr>
              <w:pStyle w:val="Normal"/>
              <w:rPr>
                <w:rFonts w:ascii="Arial" w:hAnsi="Arial" w:cs="Arial"/>
                <w:sz w:val="18"/>
                <w:szCs w:val="18"/>
              </w:rPr>
            </w:pPr>
            <w:r>
              <w:rPr>
                <w:rFonts w:cs="Arial" w:ascii="Arial" w:hAnsi="Arial"/>
                <w:sz w:val="18"/>
                <w:szCs w:val="18"/>
              </w:rPr>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Exit slip to Cambourne</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Traffic leaving A428.</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Low</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All traffic on A428 will have passed at least one warning sign.</w:t>
            </w:r>
          </w:p>
        </w:tc>
      </w:tr>
      <w:tr>
        <w:trPr>
          <w:trHeight w:val="54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9</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Entry slip from Cambourne</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Traffic joining A428.</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Medium</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MEDIUM Cycle Event warning sign on the slip prior to the intersection.</w:t>
            </w:r>
          </w:p>
        </w:tc>
      </w:tr>
      <w:tr>
        <w:trPr>
          <w:trHeight w:val="153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10</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TURN at Caxton Gibbet RAB</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Competitors negotiating RAB.</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High</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SMALL Cycle Event warning signs on the 3 roads approaching the RAB.</w:t>
            </w:r>
          </w:p>
          <w:p>
            <w:pPr>
              <w:pStyle w:val="Normal"/>
              <w:rPr/>
            </w:pPr>
            <w:r>
              <w:rPr>
                <w:rFonts w:cs="Arial" w:ascii="Arial" w:hAnsi="Arial"/>
                <w:sz w:val="18"/>
                <w:szCs w:val="18"/>
              </w:rPr>
              <w:t>LARGE (triangular) Cycle Event warning sign on the course (A428) just after RAB.</w:t>
            </w:r>
          </w:p>
          <w:p>
            <w:pPr>
              <w:pStyle w:val="Normal"/>
              <w:rPr/>
            </w:pPr>
            <w:r>
              <w:rPr>
                <w:rFonts w:cs="Arial" w:ascii="Arial" w:hAnsi="Arial"/>
                <w:b/>
                <w:bCs/>
                <w:sz w:val="18"/>
                <w:szCs w:val="18"/>
              </w:rPr>
              <w:t>Three, preferably  four marshals</w:t>
            </w:r>
            <w:r>
              <w:rPr>
                <w:rFonts w:cs="Arial" w:ascii="Arial" w:hAnsi="Arial"/>
                <w:sz w:val="18"/>
                <w:szCs w:val="18"/>
              </w:rPr>
              <w:t xml:space="preserve"> wearing high-vis jackets, at the RAB.</w:t>
            </w:r>
          </w:p>
        </w:tc>
      </w:tr>
      <w:tr>
        <w:trPr>
          <w:trHeight w:val="54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11</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Exit slip to Cambourne</w:t>
            </w:r>
          </w:p>
          <w:p>
            <w:pPr>
              <w:pStyle w:val="Normal"/>
              <w:rPr>
                <w:rFonts w:ascii="Arial" w:hAnsi="Arial" w:cs="Arial"/>
                <w:sz w:val="18"/>
                <w:szCs w:val="18"/>
              </w:rPr>
            </w:pPr>
            <w:r>
              <w:rPr>
                <w:rFonts w:cs="Arial" w:ascii="Arial" w:hAnsi="Arial"/>
                <w:sz w:val="18"/>
                <w:szCs w:val="18"/>
              </w:rPr>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Traffic leaving A428.</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Low</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All traffic on A428 will have passed at least one warning sign.</w:t>
            </w:r>
          </w:p>
        </w:tc>
      </w:tr>
      <w:tr>
        <w:trPr>
          <w:trHeight w:val="54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12</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Entry slip from Cambourne</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Traffic joining A428.</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Medium</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MEDIUM Cycle Event warning sign on slip prior to the intersection.</w:t>
            </w:r>
          </w:p>
        </w:tc>
      </w:tr>
      <w:tr>
        <w:trPr>
          <w:trHeight w:val="54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13</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Exit slip to Hardwick</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Traffic leaving A428.</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Low</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All traffic on A428 will have passed at least one warning sign.</w:t>
            </w:r>
          </w:p>
        </w:tc>
      </w:tr>
      <w:tr>
        <w:trPr>
          <w:trHeight w:val="54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14</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Entry slip from Hardwick</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Traffic joining A428.</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Medium</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MEDIUM Cycle Event warning sign on slip prior to the intersection.</w:t>
            </w:r>
          </w:p>
        </w:tc>
      </w:tr>
      <w:tr>
        <w:trPr>
          <w:trHeight w:val="117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15</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Exit slip to Cambridge</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Competitors and traffic leaving A428.</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Medium</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 xml:space="preserve">MEDIUM Cycle Event warning sign on the slip approaching the RAB.  </w:t>
            </w:r>
          </w:p>
          <w:p>
            <w:pPr>
              <w:pStyle w:val="Normal"/>
              <w:rPr/>
            </w:pPr>
            <w:r>
              <w:rPr>
                <w:rFonts w:cs="Arial" w:ascii="Arial" w:hAnsi="Arial"/>
                <w:sz w:val="18"/>
                <w:szCs w:val="18"/>
              </w:rPr>
              <w:t>(Direction arrows on A428 to indicate course as location is dangerous for marshal.)</w:t>
            </w:r>
          </w:p>
        </w:tc>
      </w:tr>
      <w:tr>
        <w:trPr>
          <w:trHeight w:val="99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16</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 xml:space="preserve">TURN at Madingley RAB </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Competitors negotiating RAB.</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High</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SMALL Cycle Event warning signs on all 3 roads approaching the RAB.</w:t>
            </w:r>
          </w:p>
          <w:p>
            <w:pPr>
              <w:pStyle w:val="Normal"/>
              <w:rPr/>
            </w:pPr>
            <w:r>
              <w:rPr>
                <w:rFonts w:cs="Arial" w:ascii="Arial" w:hAnsi="Arial"/>
                <w:b/>
                <w:bCs/>
                <w:sz w:val="18"/>
                <w:szCs w:val="18"/>
              </w:rPr>
              <w:t xml:space="preserve">Three, preferably four Marshals </w:t>
            </w:r>
            <w:r>
              <w:rPr>
                <w:rFonts w:cs="Arial" w:ascii="Arial" w:hAnsi="Arial"/>
                <w:sz w:val="18"/>
                <w:szCs w:val="18"/>
              </w:rPr>
              <w:t>wearing high-vis jackets at the RAB.</w:t>
            </w:r>
          </w:p>
        </w:tc>
      </w:tr>
      <w:tr>
        <w:trPr>
          <w:trHeight w:val="117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17</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Entry slip from Madingley RAB</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Spear-point junction merging with the A428, competitors joining dual carriageway</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High</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MEDIUM Cycle Event warning sign on slip prior to intersection.</w:t>
            </w:r>
          </w:p>
          <w:p>
            <w:pPr>
              <w:pStyle w:val="Normal"/>
              <w:rPr/>
            </w:pPr>
            <w:r>
              <w:rPr>
                <w:rFonts w:cs="Arial" w:ascii="Arial" w:hAnsi="Arial"/>
                <w:sz w:val="18"/>
                <w:szCs w:val="18"/>
              </w:rPr>
              <w:t>LARGE (triangle) cycle event warning sign on the A428 prior to the intersection.</w:t>
            </w:r>
          </w:p>
        </w:tc>
      </w:tr>
      <w:tr>
        <w:trPr>
          <w:trHeight w:val="63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18</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FINISH on St Neots Road</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Competitors negotiating RAB.</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Medium</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SMALL Cycle Event warning sign on event course just after the RAB.</w:t>
            </w:r>
          </w:p>
        </w:tc>
      </w:tr>
      <w:tr>
        <w:trPr>
          <w:trHeight w:val="630" w:hRule="exact"/>
          <w:cantSplit w:val="true"/>
        </w:trPr>
        <w:tc>
          <w:tcPr>
            <w:tcW w:w="4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19</w:t>
            </w:r>
          </w:p>
        </w:tc>
        <w:tc>
          <w:tcPr>
            <w:tcW w:w="305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Lay-bys.  There are several lay-bys each way on the A428</w:t>
            </w:r>
          </w:p>
        </w:tc>
        <w:tc>
          <w:tcPr>
            <w:tcW w:w="241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Traffic entering or leaving lay-bys</w:t>
            </w:r>
          </w:p>
        </w:tc>
        <w:tc>
          <w:tcPr>
            <w:tcW w:w="11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cs="Arial" w:ascii="Arial" w:hAnsi="Arial"/>
                <w:sz w:val="18"/>
                <w:szCs w:val="18"/>
              </w:rPr>
              <w:t>Low</w:t>
            </w:r>
          </w:p>
        </w:tc>
        <w:tc>
          <w:tcPr>
            <w:tcW w:w="34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cs="Arial" w:ascii="Arial" w:hAnsi="Arial"/>
                <w:sz w:val="18"/>
                <w:szCs w:val="18"/>
              </w:rPr>
              <w:t>All traffic will have passed at least one Cycle Event warning sign.</w:t>
            </w:r>
          </w:p>
        </w:tc>
      </w:tr>
    </w:tbl>
    <w:p>
      <w:pPr>
        <w:pStyle w:val="Normal"/>
        <w:rPr>
          <w:vanish/>
        </w:rPr>
      </w:pPr>
      <w:r>
        <w:rPr>
          <w:vanish/>
        </w:rPr>
      </w:r>
    </w:p>
    <w:tbl>
      <w:tblPr>
        <w:tblW w:w="10350" w:type="dxa"/>
        <w:jc w:val="left"/>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0" w:val="01e0" w:noHBand="0" w:lastColumn="1" w:firstColumn="1" w:lastRow="1" w:firstRow="1"/>
      </w:tblPr>
      <w:tblGrid>
        <w:gridCol w:w="10350"/>
      </w:tblGrid>
      <w:tr>
        <w:trPr>
          <w:trHeight w:val="630" w:hRule="atLeast"/>
        </w:trPr>
        <w:tc>
          <w:tcPr>
            <w:tcW w:w="103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ascii="Arial" w:hAnsi="Arial"/>
                <w:sz w:val="18"/>
                <w:szCs w:val="18"/>
              </w:rPr>
              <w:t xml:space="preserve">The small junctions or entrances to farms/facilities that are not identified in this risk assessment have been considered. </w:t>
            </w:r>
            <w:r>
              <w:rPr>
                <w:rFonts w:ascii="Arial" w:hAnsi="Arial"/>
                <w:sz w:val="18"/>
                <w:szCs w:val="18"/>
              </w:rPr>
              <w:t>H</w:t>
            </w:r>
            <w:r>
              <w:rPr>
                <w:rFonts w:ascii="Arial" w:hAnsi="Arial"/>
                <w:sz w:val="18"/>
                <w:szCs w:val="18"/>
              </w:rPr>
              <w:t xml:space="preserve">owever </w:t>
            </w:r>
            <w:r>
              <w:rPr>
                <w:rFonts w:ascii="Arial" w:hAnsi="Arial"/>
                <w:sz w:val="18"/>
                <w:szCs w:val="18"/>
              </w:rPr>
              <w:t xml:space="preserve">they </w:t>
            </w:r>
            <w:r>
              <w:rPr>
                <w:rFonts w:ascii="Arial" w:hAnsi="Arial"/>
                <w:sz w:val="18"/>
                <w:szCs w:val="18"/>
              </w:rPr>
              <w:t xml:space="preserve">are not considered </w:t>
            </w:r>
            <w:r>
              <w:rPr>
                <w:rFonts w:ascii="Arial" w:hAnsi="Arial"/>
                <w:sz w:val="18"/>
                <w:szCs w:val="18"/>
              </w:rPr>
              <w:t xml:space="preserve">sufficiently </w:t>
            </w:r>
            <w:r>
              <w:rPr>
                <w:rFonts w:ascii="Arial" w:hAnsi="Arial"/>
                <w:sz w:val="18"/>
                <w:szCs w:val="18"/>
              </w:rPr>
              <w:t>significant to pose a risk and therefore have not been noted.</w:t>
            </w:r>
          </w:p>
        </w:tc>
      </w:tr>
    </w:tbl>
    <w:p>
      <w:pPr>
        <w:pStyle w:val="Normal"/>
        <w:rPr>
          <w:rFonts w:ascii="Arial" w:hAnsi="Arial" w:cs="Arial"/>
          <w:b/>
          <w:b/>
        </w:rPr>
      </w:pPr>
      <w:r>
        <w:rPr>
          <w:rFonts w:cs="Arial" w:ascii="Arial" w:hAnsi="Arial"/>
          <w:b/>
        </w:rPr>
      </w:r>
    </w:p>
    <w:tbl>
      <w:tblPr>
        <w:tblW w:w="10204" w:type="dxa"/>
        <w:jc w:val="left"/>
        <w:tblInd w:w="0" w:type="dxa"/>
        <w:tblBorders/>
        <w:tblCellMar>
          <w:top w:w="29" w:type="dxa"/>
          <w:left w:w="29" w:type="dxa"/>
          <w:bottom w:w="29" w:type="dxa"/>
          <w:right w:w="29" w:type="dxa"/>
        </w:tblCellMar>
      </w:tblPr>
      <w:tblGrid>
        <w:gridCol w:w="7563"/>
        <w:gridCol w:w="2640"/>
      </w:tblGrid>
      <w:tr>
        <w:trPr/>
        <w:tc>
          <w:tcPr>
            <w:tcW w:w="7563" w:type="dxa"/>
            <w:tcBorders/>
            <w:shd w:fill="auto" w:val="clear"/>
          </w:tcPr>
          <w:p>
            <w:pPr>
              <w:pStyle w:val="TableContents"/>
              <w:rPr>
                <w:rFonts w:ascii="Arial" w:hAnsi="Arial"/>
                <w:sz w:val="18"/>
                <w:szCs w:val="18"/>
              </w:rPr>
            </w:pPr>
            <w:r>
              <w:rPr>
                <w:rFonts w:ascii="Arial" w:hAnsi="Arial"/>
                <w:sz w:val="18"/>
                <w:szCs w:val="18"/>
              </w:rPr>
              <w:t>Signs (23 + HQ)</w:t>
            </w:r>
          </w:p>
        </w:tc>
        <w:tc>
          <w:tcPr>
            <w:tcW w:w="2640" w:type="dxa"/>
            <w:tcBorders/>
            <w:shd w:fill="auto" w:val="clear"/>
          </w:tcPr>
          <w:p>
            <w:pPr>
              <w:pStyle w:val="TableContents"/>
              <w:rPr>
                <w:rFonts w:ascii="Arial" w:hAnsi="Arial"/>
                <w:sz w:val="18"/>
                <w:szCs w:val="18"/>
              </w:rPr>
            </w:pPr>
            <w:r>
              <w:rPr>
                <w:rFonts w:ascii="Arial" w:hAnsi="Arial"/>
                <w:sz w:val="18"/>
                <w:szCs w:val="18"/>
              </w:rPr>
              <w:t>Marshals</w:t>
            </w:r>
          </w:p>
        </w:tc>
      </w:tr>
      <w:tr>
        <w:trPr/>
        <w:tc>
          <w:tcPr>
            <w:tcW w:w="7563" w:type="dxa"/>
            <w:tcBorders/>
            <w:shd w:fill="auto" w:val="clear"/>
          </w:tcPr>
          <w:p>
            <w:pPr>
              <w:pStyle w:val="TableContents"/>
              <w:rPr>
                <w:rFonts w:ascii="Arial" w:hAnsi="Arial"/>
                <w:sz w:val="18"/>
                <w:szCs w:val="18"/>
              </w:rPr>
            </w:pPr>
            <w:r>
              <w:rPr>
                <w:rFonts w:ascii="Arial" w:hAnsi="Arial"/>
                <w:sz w:val="18"/>
                <w:szCs w:val="18"/>
              </w:rPr>
              <w:t>Various at HQ as required</w:t>
            </w:r>
          </w:p>
        </w:tc>
        <w:tc>
          <w:tcPr>
            <w:tcW w:w="2640" w:type="dxa"/>
            <w:tcBorders/>
            <w:shd w:fill="auto" w:val="clear"/>
          </w:tcPr>
          <w:p>
            <w:pPr>
              <w:pStyle w:val="TableContents"/>
              <w:rPr>
                <w:rFonts w:ascii="Arial" w:hAnsi="Arial"/>
                <w:sz w:val="18"/>
                <w:szCs w:val="18"/>
              </w:rPr>
            </w:pPr>
            <w:r>
              <w:rPr>
                <w:rFonts w:ascii="Arial" w:hAnsi="Arial"/>
                <w:sz w:val="18"/>
                <w:szCs w:val="18"/>
              </w:rPr>
              <w:t>Hardwick RAB x 1</w:t>
            </w:r>
          </w:p>
        </w:tc>
      </w:tr>
      <w:tr>
        <w:trPr/>
        <w:tc>
          <w:tcPr>
            <w:tcW w:w="7563" w:type="dxa"/>
            <w:tcBorders/>
            <w:shd w:fill="auto" w:val="clear"/>
          </w:tcPr>
          <w:p>
            <w:pPr>
              <w:pStyle w:val="TableContents"/>
              <w:rPr>
                <w:rFonts w:ascii="Arial" w:hAnsi="Arial"/>
                <w:sz w:val="18"/>
                <w:szCs w:val="18"/>
              </w:rPr>
            </w:pPr>
            <w:r>
              <w:rPr>
                <w:rFonts w:ascii="Arial" w:hAnsi="Arial"/>
                <w:sz w:val="18"/>
                <w:szCs w:val="18"/>
              </w:rPr>
              <w:t>Start - 2 x Kickstand</w:t>
            </w:r>
          </w:p>
        </w:tc>
        <w:tc>
          <w:tcPr>
            <w:tcW w:w="2640" w:type="dxa"/>
            <w:tcBorders/>
            <w:shd w:fill="auto" w:val="clear"/>
          </w:tcPr>
          <w:p>
            <w:pPr>
              <w:pStyle w:val="TableContents"/>
              <w:rPr>
                <w:rFonts w:ascii="Arial" w:hAnsi="Arial"/>
                <w:sz w:val="18"/>
                <w:szCs w:val="18"/>
              </w:rPr>
            </w:pPr>
            <w:r>
              <w:rPr>
                <w:rFonts w:ascii="Arial" w:hAnsi="Arial"/>
                <w:sz w:val="18"/>
                <w:szCs w:val="18"/>
              </w:rPr>
              <w:t>Caxton Gibbet x 3/4</w:t>
            </w:r>
          </w:p>
        </w:tc>
      </w:tr>
      <w:tr>
        <w:trPr/>
        <w:tc>
          <w:tcPr>
            <w:tcW w:w="7563" w:type="dxa"/>
            <w:tcBorders/>
            <w:shd w:fill="auto" w:val="clear"/>
          </w:tcPr>
          <w:p>
            <w:pPr>
              <w:pStyle w:val="TableContents"/>
              <w:rPr/>
            </w:pPr>
            <w:r>
              <w:rPr>
                <w:rFonts w:ascii="Arial" w:hAnsi="Arial"/>
                <w:sz w:val="18"/>
                <w:szCs w:val="18"/>
              </w:rPr>
              <w:t>Highfields Caldecote RAB – 1 x Small or larger on entry road not used by event course</w:t>
            </w:r>
          </w:p>
        </w:tc>
        <w:tc>
          <w:tcPr>
            <w:tcW w:w="2640" w:type="dxa"/>
            <w:tcBorders/>
            <w:shd w:fill="auto" w:val="clear"/>
          </w:tcPr>
          <w:p>
            <w:pPr>
              <w:pStyle w:val="TableContents"/>
              <w:rPr>
                <w:rFonts w:ascii="Arial" w:hAnsi="Arial"/>
                <w:sz w:val="18"/>
                <w:szCs w:val="18"/>
              </w:rPr>
            </w:pPr>
            <w:r>
              <w:rPr>
                <w:rFonts w:ascii="Arial" w:hAnsi="Arial"/>
                <w:sz w:val="18"/>
                <w:szCs w:val="18"/>
              </w:rPr>
              <w:t>Madingley x 3/4</w:t>
            </w:r>
          </w:p>
        </w:tc>
      </w:tr>
      <w:tr>
        <w:trPr/>
        <w:tc>
          <w:tcPr>
            <w:tcW w:w="7563" w:type="dxa"/>
            <w:tcBorders/>
            <w:shd w:fill="auto" w:val="clear"/>
          </w:tcPr>
          <w:p>
            <w:pPr>
              <w:pStyle w:val="TableContents"/>
              <w:rPr/>
            </w:pPr>
            <w:r>
              <w:rPr>
                <w:rFonts w:ascii="Arial" w:hAnsi="Arial"/>
                <w:sz w:val="18"/>
                <w:szCs w:val="18"/>
              </w:rPr>
              <w:t>Hardwick RAB – 3 x Small or larger on entry roads not used by event course</w:t>
            </w:r>
          </w:p>
        </w:tc>
        <w:tc>
          <w:tcPr>
            <w:tcW w:w="2640" w:type="dxa"/>
            <w:tcBorders/>
            <w:shd w:fill="auto" w:val="clear"/>
          </w:tcPr>
          <w:p>
            <w:pPr>
              <w:pStyle w:val="TableContents"/>
              <w:rPr>
                <w:rFonts w:ascii="Arial" w:hAnsi="Arial"/>
                <w:sz w:val="18"/>
                <w:szCs w:val="18"/>
              </w:rPr>
            </w:pPr>
            <w:r>
              <w:rPr>
                <w:rFonts w:ascii="Arial" w:hAnsi="Arial"/>
                <w:sz w:val="18"/>
                <w:szCs w:val="18"/>
              </w:rPr>
            </w:r>
          </w:p>
        </w:tc>
      </w:tr>
      <w:tr>
        <w:trPr/>
        <w:tc>
          <w:tcPr>
            <w:tcW w:w="7563" w:type="dxa"/>
            <w:tcBorders/>
            <w:shd w:fill="auto" w:val="clear"/>
          </w:tcPr>
          <w:p>
            <w:pPr>
              <w:pStyle w:val="TableContents"/>
              <w:rPr/>
            </w:pPr>
            <w:r>
              <w:rPr>
                <w:rFonts w:ascii="Arial" w:hAnsi="Arial"/>
                <w:sz w:val="18"/>
                <w:szCs w:val="18"/>
              </w:rPr>
              <w:t>Hardwick entry slip – Medium on slip; Large on A428 prior to intersection</w:t>
            </w:r>
          </w:p>
        </w:tc>
        <w:tc>
          <w:tcPr>
            <w:tcW w:w="2640" w:type="dxa"/>
            <w:tcBorders/>
            <w:shd w:fill="auto" w:val="clear"/>
          </w:tcPr>
          <w:p>
            <w:pPr>
              <w:pStyle w:val="TableContents"/>
              <w:rPr>
                <w:rFonts w:ascii="Arial" w:hAnsi="Arial"/>
                <w:sz w:val="18"/>
                <w:szCs w:val="18"/>
              </w:rPr>
            </w:pPr>
            <w:r>
              <w:rPr>
                <w:rFonts w:ascii="Arial" w:hAnsi="Arial"/>
                <w:sz w:val="18"/>
                <w:szCs w:val="18"/>
              </w:rPr>
            </w:r>
          </w:p>
        </w:tc>
      </w:tr>
      <w:tr>
        <w:trPr/>
        <w:tc>
          <w:tcPr>
            <w:tcW w:w="7563" w:type="dxa"/>
            <w:tcBorders/>
            <w:shd w:fill="auto" w:val="clear"/>
          </w:tcPr>
          <w:p>
            <w:pPr>
              <w:pStyle w:val="TableContents"/>
              <w:rPr>
                <w:rFonts w:ascii="Arial" w:hAnsi="Arial"/>
                <w:sz w:val="18"/>
                <w:szCs w:val="18"/>
              </w:rPr>
            </w:pPr>
            <w:r>
              <w:rPr>
                <w:rFonts w:ascii="Arial" w:hAnsi="Arial"/>
                <w:sz w:val="18"/>
                <w:szCs w:val="18"/>
              </w:rPr>
              <w:t>Cambourne westbound entry slip – 1 x Medium on slip</w:t>
            </w:r>
          </w:p>
        </w:tc>
        <w:tc>
          <w:tcPr>
            <w:tcW w:w="2640" w:type="dxa"/>
            <w:tcBorders/>
            <w:shd w:fill="auto" w:val="clear"/>
          </w:tcPr>
          <w:p>
            <w:pPr>
              <w:pStyle w:val="TableContents"/>
              <w:rPr>
                <w:rFonts w:ascii="Arial" w:hAnsi="Arial"/>
                <w:sz w:val="18"/>
                <w:szCs w:val="18"/>
              </w:rPr>
            </w:pPr>
            <w:r>
              <w:rPr>
                <w:rFonts w:ascii="Arial" w:hAnsi="Arial"/>
                <w:sz w:val="18"/>
                <w:szCs w:val="18"/>
              </w:rPr>
            </w:r>
          </w:p>
        </w:tc>
      </w:tr>
      <w:tr>
        <w:trPr/>
        <w:tc>
          <w:tcPr>
            <w:tcW w:w="7563" w:type="dxa"/>
            <w:tcBorders/>
            <w:shd w:fill="auto" w:val="clear"/>
          </w:tcPr>
          <w:p>
            <w:pPr>
              <w:pStyle w:val="TableContents"/>
              <w:rPr/>
            </w:pPr>
            <w:r>
              <w:rPr>
                <w:rFonts w:ascii="Arial" w:hAnsi="Arial"/>
                <w:sz w:val="18"/>
                <w:szCs w:val="18"/>
              </w:rPr>
              <w:t>Caxton Gibbet RAB - 3 x Small or larger on entry roads; 1 x Large on event course after RAB</w:t>
            </w:r>
          </w:p>
        </w:tc>
        <w:tc>
          <w:tcPr>
            <w:tcW w:w="2640" w:type="dxa"/>
            <w:tcBorders/>
            <w:shd w:fill="auto" w:val="clear"/>
          </w:tcPr>
          <w:p>
            <w:pPr>
              <w:pStyle w:val="TableContents"/>
              <w:rPr>
                <w:rFonts w:ascii="Arial" w:hAnsi="Arial"/>
                <w:sz w:val="18"/>
                <w:szCs w:val="18"/>
              </w:rPr>
            </w:pPr>
            <w:r>
              <w:rPr>
                <w:rFonts w:ascii="Arial" w:hAnsi="Arial"/>
                <w:sz w:val="18"/>
                <w:szCs w:val="18"/>
              </w:rPr>
            </w:r>
          </w:p>
        </w:tc>
      </w:tr>
      <w:tr>
        <w:trPr/>
        <w:tc>
          <w:tcPr>
            <w:tcW w:w="7563" w:type="dxa"/>
            <w:tcBorders/>
            <w:shd w:fill="auto" w:val="clear"/>
          </w:tcPr>
          <w:p>
            <w:pPr>
              <w:pStyle w:val="TableContents"/>
              <w:rPr>
                <w:rFonts w:ascii="Arial" w:hAnsi="Arial"/>
                <w:sz w:val="18"/>
                <w:szCs w:val="18"/>
              </w:rPr>
            </w:pPr>
            <w:r>
              <w:rPr>
                <w:rFonts w:ascii="Arial" w:hAnsi="Arial"/>
                <w:sz w:val="18"/>
                <w:szCs w:val="18"/>
              </w:rPr>
              <w:t>Cambourne eastbound entry slip – 1 x Medium on slip</w:t>
            </w:r>
          </w:p>
        </w:tc>
        <w:tc>
          <w:tcPr>
            <w:tcW w:w="2640" w:type="dxa"/>
            <w:tcBorders/>
            <w:shd w:fill="auto" w:val="clear"/>
          </w:tcPr>
          <w:p>
            <w:pPr>
              <w:pStyle w:val="TableContents"/>
              <w:rPr>
                <w:rFonts w:ascii="Arial" w:hAnsi="Arial"/>
                <w:sz w:val="18"/>
                <w:szCs w:val="18"/>
              </w:rPr>
            </w:pPr>
            <w:r>
              <w:rPr>
                <w:rFonts w:ascii="Arial" w:hAnsi="Arial"/>
                <w:sz w:val="18"/>
                <w:szCs w:val="18"/>
              </w:rPr>
            </w:r>
          </w:p>
        </w:tc>
      </w:tr>
      <w:tr>
        <w:trPr/>
        <w:tc>
          <w:tcPr>
            <w:tcW w:w="7563" w:type="dxa"/>
            <w:tcBorders/>
            <w:shd w:fill="auto" w:val="clear"/>
          </w:tcPr>
          <w:p>
            <w:pPr>
              <w:pStyle w:val="TableContents"/>
              <w:rPr>
                <w:rFonts w:ascii="Arial" w:hAnsi="Arial"/>
                <w:sz w:val="18"/>
                <w:szCs w:val="18"/>
              </w:rPr>
            </w:pPr>
            <w:r>
              <w:rPr>
                <w:rFonts w:ascii="Arial" w:hAnsi="Arial"/>
                <w:sz w:val="18"/>
                <w:szCs w:val="18"/>
              </w:rPr>
              <w:t>Hardwick eastbound entry slip – 1 x Medium on slip</w:t>
            </w:r>
          </w:p>
        </w:tc>
        <w:tc>
          <w:tcPr>
            <w:tcW w:w="2640" w:type="dxa"/>
            <w:tcBorders/>
            <w:shd w:fill="auto" w:val="clear"/>
          </w:tcPr>
          <w:p>
            <w:pPr>
              <w:pStyle w:val="TableContents"/>
              <w:rPr>
                <w:rFonts w:ascii="Arial" w:hAnsi="Arial"/>
                <w:sz w:val="18"/>
                <w:szCs w:val="18"/>
              </w:rPr>
            </w:pPr>
            <w:r>
              <w:rPr>
                <w:rFonts w:ascii="Arial" w:hAnsi="Arial"/>
                <w:sz w:val="18"/>
                <w:szCs w:val="18"/>
              </w:rPr>
            </w:r>
          </w:p>
        </w:tc>
      </w:tr>
      <w:tr>
        <w:trPr/>
        <w:tc>
          <w:tcPr>
            <w:tcW w:w="7563" w:type="dxa"/>
            <w:tcBorders/>
            <w:shd w:fill="auto" w:val="clear"/>
          </w:tcPr>
          <w:p>
            <w:pPr>
              <w:pStyle w:val="TableContents"/>
              <w:rPr/>
            </w:pPr>
            <w:r>
              <w:rPr>
                <w:rFonts w:ascii="Arial" w:hAnsi="Arial"/>
                <w:sz w:val="18"/>
                <w:szCs w:val="18"/>
              </w:rPr>
              <w:t>Madingley eastbound exit slip – 1 x Medium on slip</w:t>
            </w:r>
          </w:p>
        </w:tc>
        <w:tc>
          <w:tcPr>
            <w:tcW w:w="2640" w:type="dxa"/>
            <w:tcBorders/>
            <w:shd w:fill="auto" w:val="clear"/>
          </w:tcPr>
          <w:p>
            <w:pPr>
              <w:pStyle w:val="TableContents"/>
              <w:rPr>
                <w:rFonts w:ascii="Arial" w:hAnsi="Arial"/>
                <w:sz w:val="18"/>
                <w:szCs w:val="18"/>
              </w:rPr>
            </w:pPr>
            <w:r>
              <w:rPr>
                <w:rFonts w:ascii="Arial" w:hAnsi="Arial"/>
                <w:sz w:val="18"/>
                <w:szCs w:val="18"/>
              </w:rPr>
            </w:r>
          </w:p>
        </w:tc>
      </w:tr>
      <w:tr>
        <w:trPr/>
        <w:tc>
          <w:tcPr>
            <w:tcW w:w="7563" w:type="dxa"/>
            <w:tcBorders/>
            <w:shd w:fill="auto" w:val="clear"/>
          </w:tcPr>
          <w:p>
            <w:pPr>
              <w:pStyle w:val="TableContents"/>
              <w:rPr/>
            </w:pPr>
            <w:r>
              <w:rPr>
                <w:rFonts w:ascii="Arial" w:hAnsi="Arial"/>
                <w:sz w:val="18"/>
                <w:szCs w:val="18"/>
              </w:rPr>
              <w:t>Madingley RAB – 4 x Small or larger on ALL entry roads to RAB</w:t>
            </w:r>
          </w:p>
        </w:tc>
        <w:tc>
          <w:tcPr>
            <w:tcW w:w="2640" w:type="dxa"/>
            <w:tcBorders/>
            <w:shd w:fill="auto" w:val="clear"/>
          </w:tcPr>
          <w:p>
            <w:pPr>
              <w:pStyle w:val="TableContents"/>
              <w:rPr>
                <w:rFonts w:ascii="Arial" w:hAnsi="Arial"/>
                <w:sz w:val="18"/>
                <w:szCs w:val="18"/>
              </w:rPr>
            </w:pPr>
            <w:r>
              <w:rPr>
                <w:rFonts w:ascii="Arial" w:hAnsi="Arial"/>
                <w:sz w:val="18"/>
                <w:szCs w:val="18"/>
              </w:rPr>
            </w:r>
          </w:p>
        </w:tc>
      </w:tr>
      <w:tr>
        <w:trPr/>
        <w:tc>
          <w:tcPr>
            <w:tcW w:w="7563" w:type="dxa"/>
            <w:tcBorders/>
            <w:shd w:fill="auto" w:val="clear"/>
          </w:tcPr>
          <w:p>
            <w:pPr>
              <w:pStyle w:val="TableContents"/>
              <w:rPr/>
            </w:pPr>
            <w:r>
              <w:rPr>
                <w:rFonts w:ascii="Arial" w:hAnsi="Arial"/>
                <w:sz w:val="18"/>
                <w:szCs w:val="18"/>
              </w:rPr>
              <w:t>Madingley entry slip - Medium on slip; Large on A428 prior to intersection</w:t>
            </w:r>
          </w:p>
        </w:tc>
        <w:tc>
          <w:tcPr>
            <w:tcW w:w="2640" w:type="dxa"/>
            <w:tcBorders/>
            <w:shd w:fill="auto" w:val="clear"/>
          </w:tcPr>
          <w:p>
            <w:pPr>
              <w:pStyle w:val="TableContents"/>
              <w:rPr>
                <w:rFonts w:ascii="Arial" w:hAnsi="Arial"/>
                <w:sz w:val="18"/>
                <w:szCs w:val="18"/>
              </w:rPr>
            </w:pPr>
            <w:r>
              <w:rPr>
                <w:rFonts w:ascii="Arial" w:hAnsi="Arial"/>
                <w:sz w:val="18"/>
                <w:szCs w:val="18"/>
              </w:rPr>
            </w:r>
          </w:p>
        </w:tc>
      </w:tr>
      <w:tr>
        <w:trPr/>
        <w:tc>
          <w:tcPr>
            <w:tcW w:w="7563" w:type="dxa"/>
            <w:tcBorders/>
            <w:shd w:fill="auto" w:val="clear"/>
          </w:tcPr>
          <w:p>
            <w:pPr>
              <w:pStyle w:val="TableContents"/>
              <w:rPr>
                <w:rFonts w:ascii="Arial" w:hAnsi="Arial"/>
                <w:sz w:val="18"/>
                <w:szCs w:val="18"/>
              </w:rPr>
            </w:pPr>
            <w:r>
              <w:rPr>
                <w:rFonts w:ascii="Arial" w:hAnsi="Arial"/>
                <w:sz w:val="18"/>
                <w:szCs w:val="18"/>
              </w:rPr>
              <w:t>St Neots Road – Small or larger on event course just after RAB</w:t>
            </w:r>
          </w:p>
        </w:tc>
        <w:tc>
          <w:tcPr>
            <w:tcW w:w="2640" w:type="dxa"/>
            <w:tcBorders/>
            <w:shd w:fill="auto" w:val="clear"/>
          </w:tcPr>
          <w:p>
            <w:pPr>
              <w:pStyle w:val="TableContents"/>
              <w:rPr>
                <w:rFonts w:ascii="Arial" w:hAnsi="Arial"/>
                <w:sz w:val="18"/>
                <w:szCs w:val="18"/>
              </w:rPr>
            </w:pPr>
            <w:r>
              <w:rPr>
                <w:rFonts w:ascii="Arial" w:hAnsi="Arial"/>
                <w:sz w:val="18"/>
                <w:szCs w:val="18"/>
              </w:rPr>
            </w:r>
          </w:p>
        </w:tc>
      </w:tr>
    </w:tbl>
    <w:p>
      <w:pPr>
        <w:pStyle w:val="Normal"/>
        <w:rPr>
          <w:rFonts w:ascii="Arial" w:hAnsi="Arial" w:cs="Arial"/>
          <w:b/>
          <w:b/>
        </w:rPr>
      </w:pPr>
      <w:r>
        <w:rPr>
          <w:rFonts w:cs="Arial" w:ascii="Arial" w:hAnsi="Arial"/>
          <w:b/>
        </w:rPr>
      </w:r>
    </w:p>
    <w:p>
      <w:pPr>
        <w:pStyle w:val="Normal"/>
        <w:rPr/>
      </w:pPr>
      <w:r>
        <w:rPr>
          <w:rFonts w:cs="Arial" w:ascii="Arial" w:hAnsi="Arial"/>
          <w:b/>
        </w:rPr>
        <w:t>Date of original assessment:     8</w:t>
      </w:r>
      <w:r>
        <w:rPr>
          <w:rFonts w:cs="Arial" w:ascii="Arial" w:hAnsi="Arial"/>
          <w:b/>
          <w:vertAlign w:val="superscript"/>
        </w:rPr>
        <w:t>th</w:t>
      </w:r>
      <w:r>
        <w:rPr>
          <w:rFonts w:cs="Arial" w:ascii="Arial" w:hAnsi="Arial"/>
          <w:b/>
        </w:rPr>
        <w:t xml:space="preserve"> May 2021</w:t>
      </w:r>
    </w:p>
    <w:p>
      <w:pPr>
        <w:pStyle w:val="Normal"/>
        <w:jc w:val="center"/>
        <w:rPr>
          <w:rFonts w:ascii="Arial" w:hAnsi="Arial"/>
          <w:bCs/>
          <w:sz w:val="16"/>
          <w:szCs w:val="16"/>
        </w:rPr>
      </w:pPr>
      <w:r>
        <w:rPr>
          <w:rFonts w:ascii="Arial" w:hAnsi="Arial"/>
          <w:bCs/>
          <w:sz w:val="16"/>
          <w:szCs w:val="16"/>
        </w:rPr>
      </w:r>
    </w:p>
    <w:p>
      <w:pPr>
        <w:pStyle w:val="Normal"/>
        <w:jc w:val="center"/>
        <w:rPr/>
      </w:pPr>
      <w:r>
        <w:rPr>
          <w:rFonts w:ascii="Arial" w:hAnsi="Arial"/>
          <w:bCs/>
          <w:sz w:val="16"/>
          <w:szCs w:val="16"/>
        </w:rPr>
        <w:t>CYCLINGTIME TRIALS IS A COMPANY LIMITED BY GUARANTEE REGISTERED IN ENGLAND No. 4413282</w:t>
      </w:r>
    </w:p>
    <w:p>
      <w:pPr>
        <w:pStyle w:val="Normal"/>
        <w:jc w:val="center"/>
        <w:rPr/>
      </w:pPr>
      <w:r>
        <w:rPr>
          <w:rFonts w:ascii="Arial" w:hAnsi="Arial"/>
          <w:bCs/>
          <w:sz w:val="16"/>
          <w:szCs w:val="16"/>
        </w:rPr>
        <w:t>Registered Address: C/O DJH Accountants Ltd, Porthill Lodge, High Street, Wolstanton, Newcastle under Lune, Staffordshire ST5 0EZ</w:t>
      </w:r>
    </w:p>
    <w:sectPr>
      <w:footerReference w:type="default" r:id="rId5"/>
      <w:type w:val="nextPage"/>
      <w:pgSz w:w="11906" w:h="16838"/>
      <w:pgMar w:left="851" w:right="851" w:header="0" w:top="856" w:footer="567" w:bottom="624" w:gutter="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default"/>
  </w:font>
  <w:font w:name="Arial">
    <w:charset w:val="01"/>
    <w:family w:val="swiss"/>
    <w:pitch w:val="default"/>
  </w:font>
  <w:font w:name="Arial Black">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rFonts w:ascii="Arial" w:hAnsi="Arial"/>
        <w:color w:val="0000FF"/>
        <w:sz w:val="14"/>
        <w:szCs w:val="14"/>
      </w:rPr>
    </w:pPr>
    <w:r>
      <w:rPr>
        <w:rFonts w:ascii="Arial" w:hAnsi="Arial"/>
        <w:color w:val="0000FF"/>
        <w:sz w:val="14"/>
        <w:szCs w:val="14"/>
      </w:rPr>
    </w:r>
  </w:p>
</w:ftr>
</file>

<file path=word/settings.xml><?xml version="1.0" encoding="utf-8"?>
<w:settings xmlns:w="http://schemas.openxmlformats.org/wordprocessingml/2006/main">
  <w:zoom w:percent="100"/>
  <w:embedSystemFonts/>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jc w:val="left"/>
    </w:pPr>
    <w:rPr>
      <w:rFonts w:ascii="Times New Roman" w:hAnsi="Times New Roman" w:eastAsia="Times New Roman" w:cs="Times New Roman"/>
      <w:color w:val="auto"/>
      <w:kern w:val="0"/>
      <w:sz w:val="20"/>
      <w:szCs w:val="20"/>
      <w:lang w:val="en-GB" w:eastAsia="en-GB" w:bidi="ar-SA"/>
    </w:rPr>
  </w:style>
  <w:style w:type="paragraph" w:styleId="Heading1">
    <w:name w:val="Heading 1"/>
    <w:basedOn w:val="Normal"/>
    <w:next w:val="Normal"/>
    <w:qFormat/>
    <w:pPr>
      <w:keepNext w:val="true"/>
      <w:jc w:val="center"/>
      <w:outlineLvl w:val="0"/>
    </w:pPr>
    <w:rPr>
      <w:rFonts w:ascii="Arial" w:hAnsi="Arial"/>
      <w:b/>
      <w:sz w:val="36"/>
    </w:rPr>
  </w:style>
  <w:style w:type="paragraph" w:styleId="Heading2">
    <w:name w:val="Heading 2"/>
    <w:basedOn w:val="Normal"/>
    <w:next w:val="Normal"/>
    <w:qFormat/>
    <w:pPr>
      <w:keepNext w:val="true"/>
      <w:outlineLvl w:val="1"/>
    </w:pPr>
    <w:rPr>
      <w:rFonts w:ascii="Arial" w:hAnsi="Arial"/>
      <w:sz w:val="36"/>
    </w:rPr>
  </w:style>
  <w:style w:type="paragraph" w:styleId="Heading3">
    <w:name w:val="Heading 3"/>
    <w:basedOn w:val="Normal"/>
    <w:next w:val="Normal"/>
    <w:qFormat/>
    <w:pPr>
      <w:keepNext w:val="true"/>
      <w:outlineLvl w:val="2"/>
    </w:pPr>
    <w:rPr>
      <w:rFonts w:ascii="Arial" w:hAnsi="Arial"/>
      <w:b/>
    </w:rPr>
  </w:style>
  <w:style w:type="paragraph" w:styleId="Heading4">
    <w:name w:val="Heading 4"/>
    <w:basedOn w:val="Normal"/>
    <w:next w:val="Normal"/>
    <w:qFormat/>
    <w:pPr>
      <w:keepNext w:val="true"/>
      <w:jc w:val="center"/>
      <w:outlineLvl w:val="3"/>
    </w:pPr>
    <w:rPr>
      <w:rFonts w:ascii="Arial" w:hAnsi="Arial"/>
      <w:b/>
    </w:rPr>
  </w:style>
  <w:style w:type="character" w:styleId="DefaultParagraphFont" w:default="1">
    <w:name w:val="Default Paragraph Font"/>
    <w:uiPriority w:val="1"/>
    <w:semiHidden/>
    <w:unhideWhenUsed/>
    <w:qFormat/>
    <w:rPr/>
  </w:style>
  <w:style w:type="character" w:styleId="FooterChar" w:customStyle="1">
    <w:name w:val="Footer Char"/>
    <w:link w:val="Footer"/>
    <w:qFormat/>
    <w:rsid w:val="005c4520"/>
    <w:rPr/>
  </w:style>
  <w:style w:type="character" w:styleId="ListLabel1">
    <w:name w:val="ListLabel 1"/>
    <w:qFormat/>
    <w:rPr>
      <w:rFonts w:cs="Courier New"/>
    </w:rPr>
  </w:style>
  <w:style w:type="character" w:styleId="ListLabel2">
    <w:name w:val="ListLabel 2"/>
    <w:qFormat/>
    <w:rPr>
      <w:rFonts w:cs="Courier New"/>
    </w:rPr>
  </w:style>
  <w:style w:type="character" w:styleId="InternetLink">
    <w:name w:val="Internet Link"/>
    <w:rPr>
      <w:color w:val="000080"/>
      <w:u w:val="single"/>
      <w:lang w:val="zxx" w:eastAsia="zxx" w:bidi="zxx"/>
    </w:rPr>
  </w:style>
  <w:style w:type="character" w:styleId="ListLabel3">
    <w:name w:val="ListLabel 3"/>
    <w:qFormat/>
    <w:rPr>
      <w:rFonts w:ascii="Arial" w:hAnsi="Arial" w:cs="Arial"/>
      <w:sz w:val="18"/>
      <w:szCs w:val="18"/>
      <w:shd w:fill="FFFFFF" w:val="clear"/>
    </w:rPr>
  </w:style>
  <w:style w:type="character" w:styleId="VisitedInternetLink">
    <w:name w:val="Visited Internet Link"/>
    <w:rPr>
      <w:color w:val="800000"/>
      <w:u w:val="single"/>
      <w:lang w:val="zxx" w:eastAsia="zxx" w:bidi="zxx"/>
    </w:rPr>
  </w:style>
  <w:style w:type="character" w:styleId="ListLabel4">
    <w:name w:val="ListLabel 4"/>
    <w:qFormat/>
    <w:rPr>
      <w:rFonts w:ascii="Arial" w:hAnsi="Arial" w:cs="Arial"/>
      <w:sz w:val="18"/>
      <w:szCs w:val="18"/>
      <w:shd w:fill="FFFFFF" w:val="clear"/>
    </w:rPr>
  </w:style>
  <w:style w:type="character" w:styleId="ListLabel5">
    <w:name w:val="ListLabel 5"/>
    <w:qFormat/>
    <w:rPr>
      <w:rFonts w:ascii="Arial" w:hAnsi="Arial" w:cs="Arial"/>
      <w:sz w:val="18"/>
      <w:szCs w:val="18"/>
      <w:highlight w:val="white"/>
    </w:rPr>
  </w:style>
  <w:style w:type="character" w:styleId="ListLabel6">
    <w:name w:val="ListLabel 6"/>
    <w:qFormat/>
    <w:rPr>
      <w:rFonts w:ascii="Arial" w:hAnsi="Arial" w:cs="Arial"/>
      <w:sz w:val="18"/>
      <w:szCs w:val="18"/>
      <w:highlight w:val="white"/>
    </w:rPr>
  </w:style>
  <w:style w:type="character" w:styleId="ListLabel7">
    <w:name w:val="ListLabel 7"/>
    <w:qFormat/>
    <w:rPr>
      <w:rFonts w:ascii="Arial" w:hAnsi="Arial" w:cs="Arial"/>
      <w:sz w:val="18"/>
      <w:szCs w:val="18"/>
      <w:highlight w:val="white"/>
    </w:rPr>
  </w:style>
  <w:style w:type="character" w:styleId="ListLabel8">
    <w:name w:val="ListLabel 8"/>
    <w:qFormat/>
    <w:rPr>
      <w:rFonts w:ascii="Arial" w:hAnsi="Arial" w:cs="Arial"/>
      <w:sz w:val="18"/>
      <w:szCs w:val="18"/>
      <w:highlight w:val="white"/>
    </w:rPr>
  </w:style>
  <w:style w:type="character" w:styleId="ListLabel9">
    <w:name w:val="ListLabel 9"/>
    <w:qFormat/>
    <w:rPr>
      <w:rFonts w:ascii="Arial" w:hAnsi="Arial" w:cs="Arial"/>
      <w:sz w:val="18"/>
      <w:szCs w:val="18"/>
      <w:highlight w:val="white"/>
    </w:rPr>
  </w:style>
  <w:style w:type="character" w:styleId="ListLabel10">
    <w:name w:val="ListLabel 10"/>
    <w:qFormat/>
    <w:rPr>
      <w:rFonts w:ascii="Arial" w:hAnsi="Arial" w:cs="Arial"/>
      <w:sz w:val="18"/>
      <w:szCs w:val="18"/>
      <w:highlight w:val="white"/>
    </w:rPr>
  </w:style>
  <w:style w:type="character" w:styleId="ListLabel11">
    <w:name w:val="ListLabel 11"/>
    <w:qFormat/>
    <w:rPr>
      <w:rFonts w:ascii="Arial" w:hAnsi="Arial" w:cs="Arial"/>
      <w:sz w:val="18"/>
      <w:szCs w:val="18"/>
      <w:highlight w:val="white"/>
    </w:rPr>
  </w:style>
  <w:style w:type="character" w:styleId="ListLabel12">
    <w:name w:val="ListLabel 12"/>
    <w:qFormat/>
    <w:rPr>
      <w:rFonts w:ascii="Arial" w:hAnsi="Arial" w:cs="Arial"/>
      <w:sz w:val="18"/>
      <w:szCs w:val="18"/>
      <w:highlight w:val="white"/>
    </w:rPr>
  </w:style>
  <w:style w:type="character" w:styleId="ListLabel13">
    <w:name w:val="ListLabel 13"/>
    <w:qFormat/>
    <w:rPr>
      <w:rFonts w:ascii="Arial" w:hAnsi="Arial" w:cs="Arial"/>
      <w:sz w:val="18"/>
      <w:szCs w:val="18"/>
      <w:highlight w:val="white"/>
    </w:rPr>
  </w:style>
  <w:style w:type="character" w:styleId="ListLabel14">
    <w:name w:val="ListLabel 14"/>
    <w:qFormat/>
    <w:rPr>
      <w:rFonts w:ascii="Arial" w:hAnsi="Arial" w:cs="Arial"/>
      <w:sz w:val="18"/>
      <w:szCs w:val="18"/>
      <w:highlight w:val="white"/>
    </w:rPr>
  </w:style>
  <w:style w:type="character" w:styleId="ListLabel15">
    <w:name w:val="ListLabel 15"/>
    <w:qFormat/>
    <w:rPr>
      <w:rFonts w:ascii="Arial" w:hAnsi="Arial" w:cs="Arial"/>
      <w:sz w:val="18"/>
      <w:szCs w:val="18"/>
      <w:highlight w:val="white"/>
    </w:rPr>
  </w:style>
  <w:style w:type="character" w:styleId="ListLabel16">
    <w:name w:val="ListLabel 16"/>
    <w:qFormat/>
    <w:rPr>
      <w:rFonts w:ascii="Arial" w:hAnsi="Arial" w:cs="Arial"/>
      <w:sz w:val="18"/>
      <w:szCs w:val="18"/>
      <w:highlight w:val="white"/>
    </w:rPr>
  </w:style>
  <w:style w:type="character" w:styleId="ListLabel17">
    <w:name w:val="ListLabel 17"/>
    <w:qFormat/>
    <w:rPr>
      <w:rFonts w:ascii="Arial" w:hAnsi="Arial" w:cs="Arial"/>
      <w:sz w:val="18"/>
      <w:szCs w:val="18"/>
      <w:highlight w:val="white"/>
    </w:rPr>
  </w:style>
  <w:style w:type="character" w:styleId="ListLabel18">
    <w:name w:val="ListLabel 18"/>
    <w:qFormat/>
    <w:rPr>
      <w:rFonts w:ascii="Arial" w:hAnsi="Arial" w:cs="Arial"/>
      <w:sz w:val="18"/>
      <w:szCs w:val="18"/>
      <w:highlight w:val="white"/>
    </w:rPr>
  </w:style>
  <w:style w:type="character" w:styleId="ListLabel19">
    <w:name w:val="ListLabel 19"/>
    <w:qFormat/>
    <w:rPr>
      <w:rFonts w:ascii="Arial" w:hAnsi="Arial" w:cs="Arial"/>
      <w:sz w:val="18"/>
      <w:szCs w:val="18"/>
      <w:highlight w:val="white"/>
    </w:rPr>
  </w:style>
  <w:style w:type="character" w:styleId="ListLabel20">
    <w:name w:val="ListLabel 20"/>
    <w:qFormat/>
    <w:rPr>
      <w:rFonts w:ascii="Arial" w:hAnsi="Arial" w:cs="Arial"/>
      <w:sz w:val="18"/>
      <w:szCs w:val="18"/>
      <w:highlight w:val="white"/>
    </w:rPr>
  </w:style>
  <w:style w:type="character" w:styleId="ListLabel21">
    <w:name w:val="ListLabel 21"/>
    <w:qFormat/>
    <w:rPr>
      <w:rFonts w:ascii="Arial" w:hAnsi="Arial" w:cs="Arial"/>
      <w:sz w:val="18"/>
      <w:szCs w:val="18"/>
      <w:highlight w:val="white"/>
    </w:rPr>
  </w:style>
  <w:style w:type="paragraph" w:styleId="Heading">
    <w:name w:val="Heading"/>
    <w:basedOn w:val="Normal"/>
    <w:next w:val="TextBody"/>
    <w:qFormat/>
    <w:pPr>
      <w:keepNext w:val="true"/>
      <w:spacing w:before="240" w:after="120"/>
    </w:pPr>
    <w:rPr>
      <w:rFonts w:ascii="Arial Black" w:hAnsi="Arial Black" w:eastAsia="Arial Unicode MS" w:cs="Lucida Sans"/>
      <w:sz w:val="36"/>
      <w:szCs w:val="28"/>
    </w:rPr>
  </w:style>
  <w:style w:type="paragraph" w:styleId="TextBody">
    <w:name w:val="Body Text"/>
    <w:basedOn w:val="Normal"/>
    <w:pPr/>
    <w:rPr>
      <w:rFonts w:ascii="Arial" w:hAnsi="Arial"/>
      <w:color w:val="000000"/>
      <w:sz w:val="16"/>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2"/>
      <w:szCs w:val="24"/>
    </w:rPr>
  </w:style>
  <w:style w:type="paragraph" w:styleId="Index">
    <w:name w:val="Index"/>
    <w:basedOn w:val="Normal"/>
    <w:qFormat/>
    <w:pPr>
      <w:suppressLineNumbers/>
    </w:pPr>
    <w:rPr>
      <w:rFonts w:ascii="Arial" w:hAnsi="Arial" w:cs="Lucida Sans"/>
    </w:rPr>
  </w:style>
  <w:style w:type="paragraph" w:styleId="Header">
    <w:name w:val="Header"/>
    <w:basedOn w:val="Normal"/>
    <w:pPr>
      <w:tabs>
        <w:tab w:val="center" w:pos="4153" w:leader="none"/>
        <w:tab w:val="right" w:pos="8306" w:leader="none"/>
      </w:tabs>
    </w:pPr>
    <w:rPr/>
  </w:style>
  <w:style w:type="paragraph" w:styleId="Footer">
    <w:name w:val="Footer"/>
    <w:basedOn w:val="Normal"/>
    <w:link w:val="FooterChar"/>
    <w:pPr>
      <w:tabs>
        <w:tab w:val="center" w:pos="4153" w:leader="none"/>
        <w:tab w:val="right" w:pos="8306" w:leader="none"/>
      </w:tabs>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b27c8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ridreferencefinder.com/" TargetMode="External"/><Relationship Id="rId4" Type="http://schemas.openxmlformats.org/officeDocument/2006/relationships/hyperlink" Target="https://ridewithgps.com/routes/37743520"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Application>LibreOffice/6.0.7.3$Linux_X86_64 LibreOffice_project/00m0$Build-3</Application>
  <Pages>2</Pages>
  <Words>1043</Words>
  <Characters>5305</Characters>
  <CharactersWithSpaces>6236</CharactersWithSpaces>
  <Paragraphs>143</Paragraphs>
  <Company>Cycling Time Trials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2021-05-08T09:57:00Z</dcterms:created>
  <dc:creator>Keith Lawton</dc:creator>
  <dc:description/>
  <dc:language>en-GB</dc:language>
  <cp:lastModifiedBy/>
  <cp:lastPrinted>2012-03-16T16:10:00Z</cp:lastPrinted>
  <dcterms:modified xsi:type="dcterms:W3CDTF">2021-10-13T16:25:02Z</dcterms:modified>
  <cp:revision>115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Cycling Time Trials</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