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B6985">
      <w:pPr>
        <w:pStyle w:val="26"/>
        <w:ind w:firstLine="425"/>
        <w:rPr>
          <w:rFonts w:ascii="Times New Roman" w:hAnsi="Times New Roman"/>
          <w:lang w:eastAsia="zh-CN"/>
        </w:rPr>
      </w:pPr>
      <w:bookmarkStart w:id="1" w:name="_GoBack"/>
      <w:bookmarkEnd w:id="1"/>
      <w:r>
        <w:rPr>
          <w:rFonts w:ascii="Times New Roman" w:hAnsi="Times New Roman"/>
          <w:lang w:eastAsia="zh-CN"/>
        </w:rPr>
        <w:t xml:space="preserve">Here </w:t>
      </w:r>
      <w:r>
        <w:rPr>
          <w:position w:val="-14"/>
        </w:rPr>
        <w:object>
          <v:shape id="_x0000_i1040" o:spt="75" alt="" type="#_x0000_t75" style="height:20pt;width:24.9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DSMT4" ShapeID="_x0000_i1040" DrawAspect="Content" ObjectID="_1468075725" r:id="rId5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is the set of children of bus </w:t>
      </w:r>
      <w:r>
        <w:rPr>
          <w:position w:val="-10"/>
        </w:rPr>
        <w:object>
          <v:shape id="_x0000_i1039" o:spt="75" alt="" type="#_x0000_t75" style="height:16pt;width: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39" DrawAspect="Content" ObjectID="_1468075726" r:id="rId7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, and the asterisk superscript in (1) denotes complex conjugation. Actual line loss is </w:t>
      </w:r>
      <w:r>
        <w:rPr>
          <w:position w:val="-20"/>
        </w:rPr>
        <w:object>
          <v:shape id="_x0000_i1038" o:spt="75" alt="" type="#_x0000_t75" style="height:23pt;width:120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DSMT4" ShapeID="_x0000_i1038" DrawAspect="Content" ObjectID="_1468075727" r:id="rId9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MW. Inverter rating </w:t>
      </w:r>
      <w:r>
        <w:rPr>
          <w:position w:val="-12"/>
        </w:rPr>
        <w:object>
          <v:shape id="_x0000_i1037" o:spt="75" alt="" type="#_x0000_t75" style="height:19pt;width:1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37" DrawAspect="Content" ObjectID="_1468075728" r:id="rId11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(MVA) determines its instantaneous reactive capability </w:t>
      </w:r>
      <w:r>
        <w:rPr>
          <w:position w:val="-14"/>
        </w:rPr>
        <w:object>
          <v:shape id="_x0000_i1036" o:spt="75" alt="" type="#_x0000_t75" style="height:20pt;width:24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36" DrawAspect="Content" ObjectID="_1468075729" r:id="rId13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(Mvar). First clip the previous action to the present capability interval, defining </w:t>
      </w:r>
      <w:r>
        <w:rPr>
          <w:position w:val="-16"/>
        </w:rPr>
        <w:object>
          <v:shape id="_x0000_i1035" o:spt="75" alt="" type="#_x0000_t75" style="height:22pt;width:144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35" DrawAspect="Content" ObjectID="_1468075730" r:id="rId15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. The nominal ramp rate </w:t>
      </w:r>
      <w:r>
        <w:rPr>
          <w:position w:val="-12"/>
        </w:rPr>
        <w:object>
          <v:shape id="_x0000_i1034" o:spt="75" alt="" type="#_x0000_t75" style="height:18pt;width:1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4" DrawAspect="Content" ObjectID="_1468075731" r:id="rId17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(Mvar/h) and one-hour interval </w:t>
      </w:r>
      <w:r>
        <w:rPr>
          <w:position w:val="-6"/>
        </w:rPr>
        <w:object>
          <v:shape id="_x0000_i1033" o:spt="75" alt="" type="#_x0000_t75" style="height:13.95pt;width:1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2" r:id="rId19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constrain actions relative to this base. AC evaluation checks</w:t>
      </w:r>
    </w:p>
    <w:p w14:paraId="475CB61D">
      <w:pPr>
        <w:pStyle w:val="40"/>
        <w:rPr>
          <w:rFonts w:ascii="Times New Roman" w:hAnsi="Times New Roman" w:cs="Times New Roman"/>
          <w:i w:val="0"/>
          <w:iCs/>
        </w:rPr>
      </w:pPr>
      <w:r>
        <w:rPr>
          <w:rFonts w:hint="eastAsia" w:ascii="Times New Roman" w:hAnsi="Times New Roman" w:cs="Times New Roman"/>
          <w:i w:val="0"/>
          <w:iCs/>
          <w:lang w:val="en-US" w:eastAsia="zh-CN"/>
        </w:rPr>
        <w:tab/>
      </w:r>
      <w:r>
        <w:rPr>
          <w:position w:val="-18"/>
        </w:rPr>
        <w:object>
          <v:shape id="_x0000_i1032" o:spt="75" alt="" type="#_x0000_t75" style="height:28pt;width:400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3" r:id="rId21">
            <o:LockedField>false</o:LockedField>
          </o:OLEObject>
        </w:object>
      </w:r>
      <w:r>
        <w:rPr>
          <w:rFonts w:ascii="Times New Roman" w:hAnsi="Times New Roman" w:cs="Times New Roman"/>
          <w:i w:val="0"/>
          <w:iCs/>
        </w:rPr>
        <w:tab/>
      </w:r>
      <w:r>
        <w:rPr>
          <w:rFonts w:ascii="Times New Roman" w:hAnsi="Times New Roman" w:cs="Times New Roman"/>
          <w:i w:val="0"/>
          <w:iCs/>
        </w:rPr>
        <w:t>(2)</w:t>
      </w:r>
    </w:p>
    <w:p w14:paraId="5BF2AC86">
      <w:pPr>
        <w:pStyle w:val="26"/>
        <w:ind w:firstLine="425"/>
        <w:rPr>
          <w:rFonts w:ascii="Times New Roman" w:hAnsi="Times New Roman"/>
          <w:lang w:eastAsia="zh-CN"/>
        </w:rPr>
      </w:pPr>
      <w:r>
        <w:rPr>
          <w:position w:val="-4"/>
        </w:rPr>
        <w:object>
          <v:shape id="_x0000_i1031" o:spt="75" alt="" type="#_x0000_t75" style="height:13.95pt;width:9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1" DrawAspect="Content" ObjectID="_1468075734" r:id="rId23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contains all trainable parameters. At inference, </w:t>
      </w:r>
      <w:r>
        <w:rPr>
          <w:position w:val="-14"/>
        </w:rPr>
        <w:object>
          <v:shape id="_x0000_i1030" o:spt="75" alt="" type="#_x0000_t75" style="height:20pt;width:64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0" DrawAspect="Content" ObjectID="_1468075735" r:id="rId25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converts network output to Mvar. The previous action is first clipped to the present capability interval, yielding the ramp reference </w:t>
      </w:r>
      <w:r>
        <w:rPr>
          <w:position w:val="-14"/>
        </w:rPr>
        <w:object>
          <v:shape id="_x0000_i1029" o:spt="75" alt="" type="#_x0000_t75" style="height:20pt;width:23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29" DrawAspect="Content" ObjectID="_1468075736" r:id="rId27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. The network proposal </w:t>
      </w:r>
      <w:r>
        <w:rPr>
          <w:position w:val="-12"/>
        </w:rPr>
        <w:object>
          <v:shape id="_x0000_i1028" o:spt="75" alt="" type="#_x0000_t75" style="height:18pt;width:13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28" DrawAspect="Content" ObjectID="_1468075737" r:id="rId29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is then projected onto the device intersection </w:t>
      </w:r>
      <w:r>
        <w:rPr>
          <w:position w:val="-12"/>
        </w:rPr>
        <w:object>
          <v:shape id="_x0000_i1027" o:spt="75" alt="" type="#_x0000_t75" style="height:18pt;width:13.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27" DrawAspect="Content" ObjectID="_1468075738" r:id="rId31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. With projection </w:t>
      </w:r>
      <w:r>
        <w:rPr>
          <w:position w:val="-4"/>
        </w:rPr>
        <w:object>
          <v:shape id="_x0000_i1026" o:spt="75" alt="" type="#_x0000_t75" style="height:13pt;width:13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26" DrawAspect="Content" ObjectID="_1468075739" r:id="rId33">
            <o:LockedField>false</o:LockedField>
          </o:OLEObject>
        </w:object>
      </w:r>
      <w:r>
        <w:rPr>
          <w:rFonts w:ascii="Times New Roman" w:hAnsi="Times New Roman"/>
          <w:lang w:eastAsia="zh-CN"/>
        </w:rPr>
        <w:t xml:space="preserve"> and </w:t>
      </w:r>
      <w:bookmarkStart w:id="0" w:name="MTBlankEqn"/>
      <w:r>
        <w:rPr>
          <w:position w:val="-14"/>
        </w:rPr>
        <w:object>
          <v:shape id="_x0000_i1025" o:spt="75" alt="" type="#_x0000_t75" style="height:20pt;width:117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025" DrawAspect="Content" ObjectID="_1468075740" r:id="rId35">
            <o:LockedField>false</o:LockedField>
          </o:OLEObject>
        </w:object>
      </w:r>
      <w:bookmarkEnd w:id="0"/>
      <w:r>
        <w:rPr>
          <w:rFonts w:ascii="Times New Roman" w:hAnsi="Times New Roman"/>
          <w:lang w:eastAsia="zh-CN"/>
        </w:rPr>
        <w:t>, the safety-screen candidates are</w:t>
      </w:r>
    </w:p>
    <w:sectPr>
      <w:footerReference r:id="rId3" w:type="default"/>
      <w:footnotePr>
        <w:pos w:val="beneathText"/>
      </w:footnotePr>
      <w:endnotePr>
        <w:numFmt w:val="chicago"/>
        <w:numStart w:val="4"/>
      </w:endnotePr>
      <w:pgSz w:w="11907" w:h="16839"/>
      <w:pgMar w:top="2268" w:right="1417" w:bottom="1531" w:left="1417" w:header="709" w:footer="709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6BFC0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507070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507070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91C6A"/>
    <w:multiLevelType w:val="multilevel"/>
    <w:tmpl w:val="04491C6A"/>
    <w:lvl w:ilvl="0" w:tentative="0">
      <w:start w:val="1"/>
      <w:numFmt w:val="decimal"/>
      <w:pStyle w:val="28"/>
      <w:suff w:val="nothing"/>
      <w:lvlText w:val="%1.  "/>
      <w:lvlJc w:val="left"/>
      <w:pPr>
        <w:ind w:left="2836" w:firstLine="0"/>
      </w:pPr>
      <w:rPr>
        <w:rFonts w:hint="default"/>
      </w:rPr>
    </w:lvl>
    <w:lvl w:ilvl="1" w:tentative="0">
      <w:start w:val="1"/>
      <w:numFmt w:val="decimal"/>
      <w:pStyle w:val="30"/>
      <w:suff w:val="nothing"/>
      <w:lvlText w:val="%1.%2.  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24"/>
      <w:suff w:val="nothing"/>
      <w:lvlText w:val="%1.%2.%3.  "/>
      <w:lvlJc w:val="left"/>
      <w:pPr>
        <w:ind w:left="993" w:firstLine="142"/>
      </w:pPr>
      <w:rPr>
        <w:rFonts w:hint="default"/>
        <w:i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>
    <w:nsid w:val="5D9556E6"/>
    <w:multiLevelType w:val="multilevel"/>
    <w:tmpl w:val="5D9556E6"/>
    <w:lvl w:ilvl="0" w:tentative="0">
      <w:start w:val="1"/>
      <w:numFmt w:val="decimal"/>
      <w:pStyle w:val="38"/>
      <w:lvlText w:val="[%1]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7FCE5D00"/>
    <w:multiLevelType w:val="multilevel"/>
    <w:tmpl w:val="7FCE5D00"/>
    <w:lvl w:ilvl="0" w:tentative="0">
      <w:start w:val="1"/>
      <w:numFmt w:val="upperRoman"/>
      <w:pStyle w:val="2"/>
      <w:lvlText w:val="Article %1.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isLgl/>
      <w:lvlText w:val="Section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85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pos w:val="beneathText"/>
  </w:footnotePr>
  <w:endnotePr>
    <w:numFmt w:val="chicago"/>
    <w:numStart w:val="4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BE4"/>
    <w:rsid w:val="00006EA6"/>
    <w:rsid w:val="0001383E"/>
    <w:rsid w:val="00092EE5"/>
    <w:rsid w:val="000A5052"/>
    <w:rsid w:val="00217A99"/>
    <w:rsid w:val="002E513A"/>
    <w:rsid w:val="00384921"/>
    <w:rsid w:val="003C548D"/>
    <w:rsid w:val="003D3731"/>
    <w:rsid w:val="005158FA"/>
    <w:rsid w:val="005A4CAF"/>
    <w:rsid w:val="005A67F6"/>
    <w:rsid w:val="005C508A"/>
    <w:rsid w:val="006F45A4"/>
    <w:rsid w:val="00733CB3"/>
    <w:rsid w:val="007F742C"/>
    <w:rsid w:val="0085647C"/>
    <w:rsid w:val="00910A26"/>
    <w:rsid w:val="00941DA7"/>
    <w:rsid w:val="00956E14"/>
    <w:rsid w:val="0099626D"/>
    <w:rsid w:val="009A0487"/>
    <w:rsid w:val="009D543A"/>
    <w:rsid w:val="00B05982"/>
    <w:rsid w:val="00B83F45"/>
    <w:rsid w:val="00CB7A57"/>
    <w:rsid w:val="00CE60B5"/>
    <w:rsid w:val="00DB23AB"/>
    <w:rsid w:val="00E259CE"/>
    <w:rsid w:val="00E361B6"/>
    <w:rsid w:val="00E9348F"/>
    <w:rsid w:val="00ED407E"/>
    <w:rsid w:val="00EE331D"/>
    <w:rsid w:val="00EF6BE4"/>
    <w:rsid w:val="00F25143"/>
    <w:rsid w:val="00F37A3F"/>
    <w:rsid w:val="00F6059B"/>
    <w:rsid w:val="00F67EFB"/>
    <w:rsid w:val="00FE09E1"/>
    <w:rsid w:val="048F2EB2"/>
    <w:rsid w:val="26E76616"/>
    <w:rsid w:val="4C027B5D"/>
    <w:rsid w:val="742A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" w:hAnsi="Times" w:cs="Times New Roman" w:eastAsiaTheme="minorEastAsia"/>
      <w:sz w:val="22"/>
      <w:lang w:val="en-GB" w:eastAsia="en-US" w:bidi="ar-SA"/>
    </w:rPr>
  </w:style>
  <w:style w:type="paragraph" w:styleId="2">
    <w:name w:val="heading 1"/>
    <w:basedOn w:val="1"/>
    <w:qFormat/>
    <w:uiPriority w:val="0"/>
    <w:pPr>
      <w:keepNext/>
      <w:widowControl w:val="0"/>
      <w:numPr>
        <w:ilvl w:val="0"/>
        <w:numId w:val="1"/>
      </w:numPr>
      <w:jc w:val="both"/>
      <w:outlineLvl w:val="0"/>
    </w:pPr>
    <w:rPr>
      <w:rFonts w:ascii="Times New Roman" w:hAnsi="Times New Roman" w:eastAsia="宋体"/>
      <w:b/>
      <w:kern w:val="2"/>
      <w:sz w:val="24"/>
      <w:szCs w:val="24"/>
      <w:lang w:val="en-US" w:eastAsia="zh-CN"/>
    </w:rPr>
  </w:style>
  <w:style w:type="paragraph" w:styleId="3">
    <w:name w:val="heading 2"/>
    <w:basedOn w:val="1"/>
    <w:autoRedefine/>
    <w:qFormat/>
    <w:uiPriority w:val="0"/>
    <w:pPr>
      <w:outlineLvl w:val="1"/>
    </w:pPr>
    <w:rPr>
      <w:i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qFormat/>
    <w:uiPriority w:val="0"/>
    <w:pPr>
      <w:keepNext/>
      <w:spacing w:before="120" w:after="60" w:line="300" w:lineRule="auto"/>
      <w:jc w:val="center"/>
    </w:pPr>
    <w:rPr>
      <w:rFonts w:ascii="Times New Roman" w:hAnsi="Times New Roman" w:eastAsia="Times New Roman" w:cs="Times New Roman"/>
      <w:sz w:val="19"/>
      <w:szCs w:val="19"/>
    </w:rPr>
  </w:style>
  <w:style w:type="paragraph" w:styleId="12">
    <w:name w:val="endnote text"/>
    <w:basedOn w:val="1"/>
    <w:semiHidden/>
    <w:qFormat/>
    <w:uiPriority w:val="0"/>
    <w:rPr>
      <w:sz w:val="20"/>
    </w:rPr>
  </w:style>
  <w:style w:type="paragraph" w:styleId="13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footnote text"/>
    <w:basedOn w:val="1"/>
    <w:semiHidden/>
    <w:qFormat/>
    <w:uiPriority w:val="0"/>
    <w:rPr>
      <w:sz w:val="20"/>
    </w:rPr>
  </w:style>
  <w:style w:type="paragraph" w:styleId="16">
    <w:name w:val="Title"/>
    <w:basedOn w:val="1"/>
    <w:qFormat/>
    <w:uiPriority w:val="0"/>
    <w:pPr>
      <w:spacing w:before="1588" w:after="567"/>
    </w:pPr>
    <w:rPr>
      <w:b/>
      <w:sz w:val="34"/>
      <w:szCs w:val="34"/>
    </w:rPr>
  </w:style>
  <w:style w:type="table" w:styleId="18">
    <w:name w:val="Table Grid"/>
    <w:basedOn w:val="17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endnote reference"/>
    <w:semiHidden/>
    <w:qFormat/>
    <w:uiPriority w:val="0"/>
    <w:rPr>
      <w:vertAlign w:val="superscript"/>
    </w:rPr>
  </w:style>
  <w:style w:type="character" w:styleId="21">
    <w:name w:val="page number"/>
    <w:basedOn w:val="19"/>
    <w:semiHidden/>
    <w:qFormat/>
    <w:uiPriority w:val="0"/>
  </w:style>
  <w:style w:type="character" w:styleId="22">
    <w:name w:val="Hyperlink"/>
    <w:basedOn w:val="19"/>
    <w:semiHidden/>
    <w:unhideWhenUsed/>
    <w:qFormat/>
    <w:uiPriority w:val="99"/>
    <w:rPr>
      <w:color w:val="0000FF"/>
      <w:u w:val="single"/>
    </w:rPr>
  </w:style>
  <w:style w:type="character" w:styleId="23">
    <w:name w:val="footnote reference"/>
    <w:semiHidden/>
    <w:qFormat/>
    <w:uiPriority w:val="0"/>
    <w:rPr>
      <w:rFonts w:ascii="Times New Roman" w:hAnsi="Times New Roman"/>
      <w:sz w:val="22"/>
      <w:szCs w:val="22"/>
      <w:vertAlign w:val="superscript"/>
    </w:rPr>
  </w:style>
  <w:style w:type="paragraph" w:customStyle="1" w:styleId="24">
    <w:name w:val="Subsubsection"/>
    <w:next w:val="25"/>
    <w:link w:val="27"/>
    <w:qFormat/>
    <w:uiPriority w:val="0"/>
    <w:pPr>
      <w:numPr>
        <w:ilvl w:val="2"/>
        <w:numId w:val="2"/>
      </w:numPr>
      <w:spacing w:before="240"/>
    </w:pPr>
    <w:rPr>
      <w:rFonts w:ascii="Times" w:hAnsi="Times" w:cs="Times New Roman" w:eastAsiaTheme="minorEastAsia"/>
      <w:i/>
      <w:iCs/>
      <w:color w:val="000000"/>
      <w:sz w:val="22"/>
      <w:szCs w:val="22"/>
      <w:lang w:val="en-GB" w:eastAsia="en-US" w:bidi="ar-SA"/>
    </w:rPr>
  </w:style>
  <w:style w:type="paragraph" w:customStyle="1" w:styleId="25">
    <w:name w:val="Bodytext"/>
    <w:next w:val="26"/>
    <w:qFormat/>
    <w:uiPriority w:val="0"/>
    <w:pPr>
      <w:jc w:val="both"/>
    </w:pPr>
    <w:rPr>
      <w:rFonts w:ascii="Times" w:hAnsi="Times" w:cs="Times New Roman" w:eastAsiaTheme="minorEastAsia"/>
      <w:iCs/>
      <w:color w:val="000000"/>
      <w:sz w:val="22"/>
      <w:szCs w:val="22"/>
      <w:lang w:val="en-US" w:eastAsia="en-US" w:bidi="ar-SA"/>
    </w:rPr>
  </w:style>
  <w:style w:type="paragraph" w:customStyle="1" w:styleId="26">
    <w:name w:val="BodytextIndented"/>
    <w:basedOn w:val="25"/>
    <w:qFormat/>
    <w:uiPriority w:val="0"/>
    <w:pPr>
      <w:ind w:firstLine="284"/>
    </w:pPr>
  </w:style>
  <w:style w:type="character" w:customStyle="1" w:styleId="27">
    <w:name w:val="Subsubsection Char"/>
    <w:link w:val="24"/>
    <w:qFormat/>
    <w:uiPriority w:val="0"/>
    <w:rPr>
      <w:rFonts w:ascii="Times" w:hAnsi="Times"/>
      <w:i/>
      <w:iCs/>
      <w:color w:val="000000"/>
      <w:sz w:val="22"/>
      <w:szCs w:val="22"/>
      <w:lang w:eastAsia="en-US"/>
    </w:rPr>
  </w:style>
  <w:style w:type="paragraph" w:customStyle="1" w:styleId="28">
    <w:name w:val="Section"/>
    <w:next w:val="25"/>
    <w:qFormat/>
    <w:uiPriority w:val="0"/>
    <w:pPr>
      <w:numPr>
        <w:ilvl w:val="0"/>
        <w:numId w:val="2"/>
      </w:numPr>
      <w:spacing w:before="60"/>
    </w:pPr>
    <w:rPr>
      <w:rFonts w:ascii="Times" w:hAnsi="Times" w:cs="Times New Roman" w:eastAsiaTheme="minorEastAsia"/>
      <w:b/>
      <w:iCs/>
      <w:color w:val="000000"/>
      <w:sz w:val="22"/>
      <w:szCs w:val="22"/>
      <w:lang w:val="en-GB" w:eastAsia="en-US" w:bidi="ar-SA"/>
    </w:rPr>
  </w:style>
  <w:style w:type="paragraph" w:customStyle="1" w:styleId="29">
    <w:name w:val="Bulleted"/>
    <w:qFormat/>
    <w:uiPriority w:val="0"/>
    <w:pPr>
      <w:jc w:val="both"/>
    </w:pPr>
    <w:rPr>
      <w:rFonts w:ascii="Times" w:hAnsi="Times" w:cs="Times New Roman" w:eastAsiaTheme="minorEastAsia"/>
      <w:color w:val="000000"/>
      <w:sz w:val="22"/>
      <w:szCs w:val="22"/>
      <w:lang w:val="en-GB" w:eastAsia="en-US" w:bidi="ar-SA"/>
    </w:rPr>
  </w:style>
  <w:style w:type="paragraph" w:customStyle="1" w:styleId="30">
    <w:name w:val="Subsection"/>
    <w:next w:val="25"/>
    <w:qFormat/>
    <w:uiPriority w:val="0"/>
    <w:pPr>
      <w:numPr>
        <w:ilvl w:val="1"/>
        <w:numId w:val="2"/>
      </w:numPr>
      <w:spacing w:before="240"/>
    </w:pPr>
    <w:rPr>
      <w:rFonts w:ascii="Times" w:hAnsi="Times" w:cs="Times New Roman" w:eastAsiaTheme="minorEastAsia"/>
      <w:iCs/>
      <w:color w:val="000000"/>
      <w:sz w:val="22"/>
      <w:szCs w:val="22"/>
      <w:lang w:val="en-GB" w:eastAsia="en-US" w:bidi="ar-SA"/>
    </w:rPr>
  </w:style>
  <w:style w:type="paragraph" w:customStyle="1" w:styleId="31">
    <w:name w:val="E-mail"/>
    <w:next w:val="32"/>
    <w:qFormat/>
    <w:uiPriority w:val="0"/>
    <w:pPr>
      <w:spacing w:after="120"/>
      <w:ind w:left="1418"/>
    </w:pPr>
    <w:rPr>
      <w:rFonts w:ascii="Times" w:hAnsi="Times" w:cs="Times New Roman" w:eastAsiaTheme="minorEastAsia"/>
      <w:sz w:val="22"/>
      <w:szCs w:val="22"/>
      <w:lang w:val="en-US" w:eastAsia="en-US" w:bidi="ar-SA"/>
    </w:rPr>
  </w:style>
  <w:style w:type="paragraph" w:customStyle="1" w:styleId="32">
    <w:name w:val="Abstract"/>
    <w:next w:val="28"/>
    <w:qFormat/>
    <w:uiPriority w:val="0"/>
    <w:pPr>
      <w:spacing w:after="240"/>
      <w:ind w:left="1418"/>
      <w:jc w:val="both"/>
    </w:pPr>
    <w:rPr>
      <w:rFonts w:ascii="Times" w:hAnsi="Times" w:cs="Times New Roman" w:eastAsiaTheme="minorEastAsia"/>
      <w:color w:val="000000"/>
      <w:lang w:val="en-GB" w:eastAsia="en-US" w:bidi="ar-SA"/>
    </w:rPr>
  </w:style>
  <w:style w:type="paragraph" w:customStyle="1" w:styleId="33">
    <w:name w:val="Section (no number)"/>
    <w:next w:val="25"/>
    <w:qFormat/>
    <w:uiPriority w:val="0"/>
    <w:pPr>
      <w:spacing w:before="240"/>
    </w:pPr>
    <w:rPr>
      <w:rFonts w:ascii="Times" w:hAnsi="Times" w:cs="Times New Roman" w:eastAsiaTheme="minorEastAsia"/>
      <w:b/>
      <w:iCs/>
      <w:color w:val="000000"/>
      <w:sz w:val="22"/>
      <w:szCs w:val="22"/>
      <w:lang w:val="en-US" w:eastAsia="en-US" w:bidi="ar-SA"/>
    </w:rPr>
  </w:style>
  <w:style w:type="paragraph" w:customStyle="1" w:styleId="34">
    <w:name w:val="Authors"/>
    <w:next w:val="35"/>
    <w:qFormat/>
    <w:uiPriority w:val="0"/>
    <w:pPr>
      <w:spacing w:after="113"/>
      <w:ind w:left="1418"/>
    </w:pPr>
    <w:rPr>
      <w:rFonts w:ascii="Times" w:hAnsi="Times" w:cs="Times New Roman" w:eastAsiaTheme="minorEastAsia"/>
      <w:b/>
      <w:sz w:val="22"/>
      <w:szCs w:val="22"/>
      <w:lang w:val="en-GB" w:eastAsia="en-US" w:bidi="ar-SA"/>
    </w:rPr>
  </w:style>
  <w:style w:type="paragraph" w:customStyle="1" w:styleId="35">
    <w:name w:val="Addresses"/>
    <w:next w:val="31"/>
    <w:qFormat/>
    <w:uiPriority w:val="0"/>
    <w:pPr>
      <w:spacing w:after="120"/>
      <w:ind w:left="1418"/>
    </w:pPr>
    <w:rPr>
      <w:rFonts w:ascii="Times" w:hAnsi="Times" w:cs="Times New Roman" w:eastAsiaTheme="minorEastAsia"/>
      <w:sz w:val="22"/>
      <w:szCs w:val="22"/>
      <w:lang w:val="en-GB" w:eastAsia="en-US" w:bidi="ar-SA"/>
    </w:rPr>
  </w:style>
  <w:style w:type="paragraph" w:customStyle="1" w:styleId="36">
    <w:name w:val="FigureCaption"/>
    <w:qFormat/>
    <w:uiPriority w:val="0"/>
    <w:pPr>
      <w:spacing w:before="170"/>
      <w:ind w:left="28"/>
      <w:jc w:val="center"/>
    </w:pPr>
    <w:rPr>
      <w:rFonts w:ascii="Times" w:hAnsi="Times" w:cs="Times New Roman" w:eastAsiaTheme="minorEastAsia"/>
      <w:color w:val="000000"/>
      <w:sz w:val="22"/>
      <w:szCs w:val="22"/>
      <w:lang w:val="en-GB" w:eastAsia="en-US" w:bidi="ar-SA"/>
    </w:rPr>
  </w:style>
  <w:style w:type="paragraph" w:customStyle="1" w:styleId="37">
    <w:name w:val="Reference (no number)"/>
    <w:basedOn w:val="38"/>
    <w:qFormat/>
    <w:uiPriority w:val="0"/>
    <w:pPr>
      <w:numPr>
        <w:numId w:val="0"/>
      </w:numPr>
      <w:tabs>
        <w:tab w:val="left" w:pos="567"/>
      </w:tabs>
      <w:ind w:left="851" w:hanging="284"/>
    </w:pPr>
  </w:style>
  <w:style w:type="paragraph" w:customStyle="1" w:styleId="38">
    <w:name w:val="Reference"/>
    <w:qFormat/>
    <w:uiPriority w:val="0"/>
    <w:pPr>
      <w:widowControl w:val="0"/>
      <w:numPr>
        <w:ilvl w:val="0"/>
        <w:numId w:val="3"/>
      </w:numPr>
      <w:tabs>
        <w:tab w:val="left" w:pos="567"/>
        <w:tab w:val="clear" w:pos="0"/>
      </w:tabs>
      <w:ind w:left="851" w:hanging="851"/>
      <w:jc w:val="both"/>
    </w:pPr>
    <w:rPr>
      <w:rFonts w:ascii="Times" w:hAnsi="Times" w:cs="Times New Roman" w:eastAsiaTheme="minorEastAsia"/>
      <w:iCs/>
      <w:color w:val="000000"/>
      <w:sz w:val="22"/>
      <w:szCs w:val="22"/>
      <w:lang w:val="en-GB" w:eastAsia="en-US" w:bidi="ar-SA"/>
    </w:rPr>
  </w:style>
  <w:style w:type="paragraph" w:customStyle="1" w:styleId="39">
    <w:name w:val="Table.Caption.Centred"/>
    <w:basedOn w:val="1"/>
    <w:autoRedefine/>
    <w:qFormat/>
    <w:uiPriority w:val="0"/>
    <w:pPr>
      <w:spacing w:after="160"/>
    </w:pPr>
    <w:rPr>
      <w:color w:val="000000"/>
      <w:szCs w:val="22"/>
    </w:rPr>
  </w:style>
  <w:style w:type="paragraph" w:customStyle="1" w:styleId="40">
    <w:name w:val="EQN"/>
    <w:basedOn w:val="1"/>
    <w:autoRedefine/>
    <w:qFormat/>
    <w:uiPriority w:val="0"/>
    <w:pPr>
      <w:tabs>
        <w:tab w:val="center" w:pos="4820"/>
        <w:tab w:val="right" w:pos="9072"/>
      </w:tabs>
      <w:jc w:val="both"/>
    </w:pPr>
    <w:rPr>
      <w:rFonts w:cs="Times"/>
      <w:i/>
      <w:color w:val="000000"/>
      <w:szCs w:val="22"/>
      <w:lang w:val="en-US" w:eastAsia="zh-CN"/>
    </w:rPr>
  </w:style>
  <w:style w:type="character" w:customStyle="1" w:styleId="41">
    <w:name w:val="12-References Char"/>
    <w:link w:val="42"/>
    <w:qFormat/>
    <w:uiPriority w:val="0"/>
    <w:rPr>
      <w:rFonts w:eastAsia="Times"/>
      <w:sz w:val="16"/>
      <w:lang w:eastAsia="en-US"/>
    </w:rPr>
  </w:style>
  <w:style w:type="paragraph" w:customStyle="1" w:styleId="42">
    <w:name w:val="12-References"/>
    <w:basedOn w:val="1"/>
    <w:link w:val="41"/>
    <w:qFormat/>
    <w:uiPriority w:val="0"/>
    <w:pPr>
      <w:tabs>
        <w:tab w:val="left" w:pos="567"/>
      </w:tabs>
      <w:spacing w:line="180" w:lineRule="exact"/>
      <w:ind w:left="567" w:hanging="567"/>
      <w:jc w:val="both"/>
    </w:pPr>
    <w:rPr>
      <w:rFonts w:ascii="Times New Roman" w:hAnsi="Times New Roman" w:eastAsia="Times"/>
      <w:sz w:val="16"/>
    </w:rPr>
  </w:style>
  <w:style w:type="paragraph" w:customStyle="1" w:styleId="43">
    <w:name w:val="Table.Caption"/>
    <w:qFormat/>
    <w:uiPriority w:val="0"/>
    <w:pPr>
      <w:spacing w:after="120"/>
      <w:jc w:val="both"/>
    </w:pPr>
    <w:rPr>
      <w:rFonts w:ascii="Times" w:hAnsi="Times" w:cs="Times New Roman" w:eastAsiaTheme="minorEastAsia"/>
      <w:color w:val="000000"/>
      <w:sz w:val="22"/>
      <w:szCs w:val="22"/>
      <w:lang w:val="en-GB" w:eastAsia="en-US" w:bidi="ar-SA"/>
    </w:rPr>
  </w:style>
  <w:style w:type="character" w:customStyle="1" w:styleId="44">
    <w:name w:val="页脚 字符"/>
    <w:basedOn w:val="19"/>
    <w:link w:val="13"/>
    <w:qFormat/>
    <w:uiPriority w:val="99"/>
    <w:rPr>
      <w:rFonts w:ascii="Times" w:hAnsi="Times"/>
      <w:sz w:val="18"/>
      <w:szCs w:val="18"/>
      <w:lang w:eastAsia="en-US"/>
    </w:rPr>
  </w:style>
  <w:style w:type="character" w:customStyle="1" w:styleId="45">
    <w:name w:val="页眉 字符"/>
    <w:basedOn w:val="19"/>
    <w:link w:val="14"/>
    <w:qFormat/>
    <w:uiPriority w:val="99"/>
    <w:rPr>
      <w:rFonts w:ascii="Times" w:hAnsi="Times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0" Type="http://schemas.openxmlformats.org/officeDocument/2006/relationships/fontTable" Target="fontTable.xml"/><Relationship Id="rId4" Type="http://schemas.openxmlformats.org/officeDocument/2006/relationships/theme" Target="theme/theme1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v\Downloads\WordGuidelines\JPCSA4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1DA342-26DB-4A4A-A20B-A0377B7395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JPCSA4Template.dot</Template>
  <Company>IOP Publishing</Company>
  <Pages>1</Pages>
  <Words>108</Words>
  <Characters>604</Characters>
  <Lines>76</Lines>
  <Paragraphs>21</Paragraphs>
  <TotalTime>0</TotalTime>
  <ScaleCrop>false</ScaleCrop>
  <LinksUpToDate>false</LinksUpToDate>
  <CharactersWithSpaces>735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2023-11-07T01:01:00Z</dcterms:created>
  <dc:creator>George Evans</dc:creator>
  <cp:keywords>open access, proceedings, template, fast, affordable, flexible</cp:keywords>
  <cp:lastModifiedBy>弄臣</cp:lastModifiedBy>
  <cp:lastPrinted>2005-02-25T09:52:00Z</cp:lastPrinted>
  <dcterms:modified xsi:type="dcterms:W3CDTF">2026-10-10T07:25:49Z</dcterms:modified>
  <dc:title>Open Access proceedings Journal of Physics: Conference series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eyJoZGlkIjoiMjA5NDVlZGRiMjA5ZDQ1YzUwNTc0NzI4MDAzMDZjYWUiLCJ1c2VySWQiOiI0MjUwMzc2MjEifQ==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389F2B2BE7A64BA9A18B78FFB67D1ED5_13</vt:lpwstr>
  </property>
</Properties>
</file>