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45B2" w:rsidRDefault="00973418" w14:paraId="2308E23F" w14:textId="77777777">
      <w:r>
        <w:rPr>
          <w:rFonts w:ascii="Arial" w:hAnsi="Arial" w:eastAsia="Arial" w:cs="Arial"/>
          <w:b/>
          <w:color w:val="003366"/>
          <w:sz w:val="32"/>
          <w:szCs w:val="32"/>
        </w:rPr>
        <w:t>Integration Feasibility Assessment</w:t>
      </w:r>
    </w:p>
    <w:p w:rsidR="00F445B2" w:rsidRDefault="00973418" w14:paraId="2308E243" w14:textId="2B18823F">
      <w:r>
        <w:rPr>
          <w:rFonts w:ascii="Arial" w:hAnsi="Arial" w:eastAsia="Arial" w:cs="Arial"/>
          <w:b/>
          <w:color w:val="000000"/>
          <w:sz w:val="22"/>
          <w:szCs w:val="22"/>
        </w:rPr>
        <w:t>Futility IA App  ×  StudyDesign App</w:t>
      </w:r>
    </w:p>
    <w:p w:rsidR="00F445B2" w:rsidRDefault="00973418" w14:paraId="2308E244" w14:textId="77777777">
      <w:pPr>
        <w:pStyle w:val="Heading1"/>
      </w:pPr>
      <w:r>
        <w:t>Overall Assessment</w:t>
      </w:r>
    </w:p>
    <w:p w:rsidR="00F445B2" w:rsidRDefault="00973418" w14:paraId="2308E245" w14:textId="77777777">
      <w:r>
        <w:rPr>
          <w:rFonts w:ascii="Arial" w:hAnsi="Arial" w:eastAsia="Arial" w:cs="Arial"/>
          <w:color w:val="000000"/>
          <w:sz w:val="22"/>
          <w:szCs w:val="22"/>
        </w:rPr>
        <w:t xml:space="preserve">Integration is </w:t>
      </w:r>
      <w:r>
        <w:rPr>
          <w:rFonts w:ascii="Arial" w:hAnsi="Arial" w:eastAsia="Arial" w:cs="Arial"/>
          <w:b/>
          <w:color w:val="1D6B2E"/>
          <w:sz w:val="22"/>
          <w:szCs w:val="22"/>
        </w:rPr>
        <w:t>feasible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but the two apps differ more in architectural philosophy than in statistical parameters. </w:t>
      </w:r>
      <w:r>
        <w:rPr>
          <w:rFonts w:ascii="Arial" w:hAnsi="Arial" w:eastAsia="Arial" w:cs="Arial"/>
          <w:i/>
          <w:color w:val="000000"/>
          <w:sz w:val="22"/>
          <w:szCs w:val="22"/>
        </w:rPr>
        <w:t>The integration effort is therefore primarily architectural rather than statistical.</w:t>
      </w:r>
    </w:p>
    <w:p w:rsidR="00F445B2" w:rsidRDefault="00F445B2" w14:paraId="2308E246" w14:textId="77777777"/>
    <w:p w:rsidR="00F445B2" w:rsidRDefault="00973418" w14:paraId="2308E247" w14:textId="77777777">
      <w:r>
        <w:rPr>
          <w:rFonts w:ascii="Arial" w:hAnsi="Arial" w:eastAsia="Arial" w:cs="Arial"/>
          <w:color w:val="000000"/>
          <w:sz w:val="22"/>
          <w:szCs w:val="22"/>
        </w:rPr>
        <w:t>The two apps handle the same clinical trial design problem from opposite directions:</w:t>
      </w:r>
    </w:p>
    <w:p w:rsidR="00F445B2" w:rsidRDefault="00973418" w14:paraId="2308E248" w14:textId="77777777">
      <w:r>
        <w:rPr>
          <w:rFonts w:ascii="Arial" w:hAnsi="Arial" w:eastAsia="Arial" w:cs="Arial"/>
          <w:color w:val="000000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Futility app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is a from-scratch custom implementation. It owns the entire probability engine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(Atrsk, dmmt, cmmt, Tdco, pfstp, pjfun, …)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and computes DCO times, enrollment counts, and operating characteristics via numerical integration and root-finding.</w:t>
      </w:r>
    </w:p>
    <w:p w:rsidR="00F445B2" w:rsidRDefault="00973418" w14:paraId="2308E249" w14:textId="77777777">
      <w:r>
        <w:rPr>
          <w:rFonts w:ascii="Arial" w:hAnsi="Arial" w:eastAsia="Arial" w:cs="Arial"/>
          <w:color w:val="000000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StudyDesign app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is a wrapper around established packages. It builds parameter lists and delegates to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rpact::getDesignGroupSequential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rpact::getSampleSizeSurvival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and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gsDesign2::gs_design_ahr</w:t>
      </w:r>
      <w:r>
        <w:rPr>
          <w:rFonts w:ascii="Arial" w:hAnsi="Arial" w:eastAsia="Arial" w:cs="Arial"/>
          <w:color w:val="000000"/>
          <w:sz w:val="22"/>
          <w:szCs w:val="22"/>
        </w:rPr>
        <w:t>. It does not own the statistical engine.</w:t>
      </w:r>
    </w:p>
    <w:p w:rsidR="00F445B2" w:rsidRDefault="00F445B2" w14:paraId="2308E24A" w14:textId="77777777"/>
    <w:p w:rsidR="00F445B2" w:rsidRDefault="00973418" w14:paraId="2308E24B" w14:textId="77777777">
      <w:r>
        <w:rPr>
          <w:rFonts w:ascii="Arial" w:hAnsi="Arial" w:eastAsia="Arial" w:cs="Arial"/>
          <w:color w:val="000000"/>
          <w:sz w:val="22"/>
          <w:szCs w:val="22"/>
        </w:rPr>
        <w:t>This means inputs cannot simply be shared. A translation layer or a unified canonical input schema is required.</w:t>
      </w:r>
    </w:p>
    <w:p w:rsidR="00F445B2" w:rsidRDefault="00F445B2" w14:paraId="2308E24C" w14:textId="77777777"/>
    <w:p w:rsidR="00F445B2" w:rsidRDefault="00973418" w14:paraId="2308E24D" w14:textId="77777777">
      <w:pPr>
        <w:pStyle w:val="Heading1"/>
      </w:pPr>
      <w:r>
        <w:t>Input Parameter Comparison</w:t>
      </w:r>
    </w:p>
    <w:p w:rsidR="00F445B2" w:rsidRDefault="00973418" w14:paraId="2308E24E" w14:textId="77777777">
      <w:r>
        <w:rPr>
          <w:rFonts w:ascii="Arial" w:hAnsi="Arial" w:eastAsia="Arial" w:cs="Arial"/>
          <w:color w:val="000000"/>
          <w:sz w:val="22"/>
          <w:szCs w:val="22"/>
        </w:rPr>
        <w:t>The table below maps each input parameter across both apps. Overlap status uses three categories:</w:t>
      </w:r>
    </w:p>
    <w:p w:rsidR="00F445B2" w:rsidRDefault="00973418" w14:paraId="2308E24F" w14:textId="77777777">
      <w:r>
        <w:rPr>
          <w:rFonts w:ascii="Arial" w:hAnsi="Arial" w:eastAsia="Arial" w:cs="Arial"/>
          <w:color w:val="000000"/>
          <w:sz w:val="22"/>
          <w:szCs w:val="22"/>
        </w:rPr>
        <w:t>•  ✅  Same concept, same parameterisation — can be shared directly.</w:t>
      </w:r>
    </w:p>
    <w:p w:rsidR="00F445B2" w:rsidRDefault="00973418" w14:paraId="2308E250" w14:textId="77777777">
      <w:r>
        <w:rPr>
          <w:rFonts w:ascii="Arial" w:hAnsi="Arial" w:eastAsia="Arial" w:cs="Arial"/>
          <w:color w:val="000000"/>
          <w:sz w:val="22"/>
          <w:szCs w:val="22"/>
        </w:rPr>
        <w:t>•  ⚠</w:t>
      </w:r>
      <w:r>
        <w:rPr>
          <w:rFonts w:ascii="Arial" w:hAnsi="Arial" w:eastAsia="Arial" w:cs="Arial"/>
          <w:color w:val="000000"/>
          <w:sz w:val="22"/>
          <w:szCs w:val="22"/>
        </w:rPr>
        <w:t>️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 Same concept, different parameterisation — requires a conversion function.</w:t>
      </w:r>
    </w:p>
    <w:p w:rsidR="00F445B2" w:rsidRDefault="00973418" w14:paraId="2308E251" w14:textId="77777777">
      <w:r>
        <w:rPr>
          <w:rFonts w:ascii="Arial" w:hAnsi="Arial" w:eastAsia="Arial" w:cs="Arial"/>
          <w:color w:val="000000"/>
          <w:sz w:val="22"/>
          <w:szCs w:val="22"/>
        </w:rPr>
        <w:t>•  ❌  Fundamentally different or missing — requires design decision before merge.</w:t>
      </w:r>
    </w:p>
    <w:p w:rsidR="00F445B2" w:rsidRDefault="00F445B2" w14:paraId="2308E252" w14:textId="77777777"/>
    <w:p w:rsidR="00F445B2" w:rsidRDefault="00973418" w14:paraId="2308E253" w14:textId="77777777">
      <w:pPr>
        <w:pStyle w:val="TableCaption"/>
        <w:keepNext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60" w:after="60"/>
        <w:ind w:left="60" w:right="60"/>
      </w:pPr>
      <w:r>
        <w:t>Table 1. Input parameter mapping between Futility app and StudyDesign app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160"/>
        <w:gridCol w:w="2880"/>
        <w:gridCol w:w="2880"/>
        <w:gridCol w:w="2016"/>
      </w:tblGrid>
      <w:tr w:rsidR="00F445B2" w14:paraId="2308E258" w14:textId="77777777">
        <w:trPr>
          <w:tblHeader/>
          <w:jc w:val="center"/>
        </w:trPr>
        <w:tc>
          <w:tcPr>
            <w:tcW w:w="2160" w:type="dxa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shd w:val="clear" w:color="auto" w:fill="2E4057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54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b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880" w:type="dxa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shd w:val="clear" w:color="auto" w:fill="2E4057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55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b/>
                <w:color w:val="FFFFFF"/>
                <w:sz w:val="18"/>
                <w:szCs w:val="18"/>
              </w:rPr>
              <w:t>Futility App</w:t>
            </w:r>
          </w:p>
        </w:tc>
        <w:tc>
          <w:tcPr>
            <w:tcW w:w="2880" w:type="dxa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shd w:val="clear" w:color="auto" w:fill="2E4057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56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b/>
                <w:color w:val="FFFFFF"/>
                <w:sz w:val="18"/>
                <w:szCs w:val="18"/>
              </w:rPr>
              <w:t>StudyDesign App</w:t>
            </w:r>
          </w:p>
        </w:tc>
        <w:tc>
          <w:tcPr>
            <w:tcW w:w="2016" w:type="dxa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shd w:val="clear" w:color="auto" w:fill="2E4057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57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b/>
                <w:color w:val="FFFFFF"/>
                <w:sz w:val="18"/>
                <w:szCs w:val="18"/>
              </w:rPr>
              <w:t>Status</w:t>
            </w:r>
          </w:p>
        </w:tc>
      </w:tr>
      <w:tr w:rsidR="00F445B2" w14:paraId="2308E25D" w14:textId="77777777">
        <w:trPr>
          <w:jc w:val="center"/>
        </w:trPr>
        <w:tc>
          <w:tcPr>
            <w:tcW w:w="2160" w:type="dxa"/>
            <w:tcBorders>
              <w:top w:val="single" w:color="666666" w:sz="12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59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Alpha (one-sided)</w:t>
            </w:r>
          </w:p>
        </w:tc>
        <w:tc>
          <w:tcPr>
            <w:tcW w:w="2880" w:type="dxa"/>
            <w:tcBorders>
              <w:top w:val="single" w:color="666666" w:sz="12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5A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alp  (scalar)</w:t>
            </w:r>
          </w:p>
        </w:tc>
        <w:tc>
          <w:tcPr>
            <w:tcW w:w="2880" w:type="dxa"/>
            <w:tcBorders>
              <w:top w:val="single" w:color="666666" w:sz="12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5B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ph_alpha  (scalar)</w:t>
            </w:r>
          </w:p>
        </w:tc>
        <w:tc>
          <w:tcPr>
            <w:tcW w:w="2016" w:type="dxa"/>
            <w:tcBorders>
              <w:top w:val="single" w:color="666666" w:sz="12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C6EFCE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5C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Same</w:t>
            </w:r>
          </w:p>
        </w:tc>
      </w:tr>
      <w:tr w:rsidR="00F445B2" w14:paraId="2308E262" w14:textId="77777777">
        <w:trPr>
          <w:jc w:val="center"/>
        </w:trPr>
        <w:tc>
          <w:tcPr>
            <w:tcW w:w="216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5E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Power / Beta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5F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pow  (power)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60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ph_beta  (type II error = 1 - power)</w:t>
            </w:r>
          </w:p>
        </w:tc>
        <w:tc>
          <w:tcPr>
            <w:tcW w:w="201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C6EFCE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61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Same — opposite convention</w:t>
            </w:r>
          </w:p>
        </w:tc>
      </w:tr>
      <w:tr w:rsidR="00F445B2" w14:paraId="2308E267" w14:textId="77777777">
        <w:trPr>
          <w:jc w:val="center"/>
        </w:trPr>
        <w:tc>
          <w:tcPr>
            <w:tcW w:w="216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63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Hazard Ratio (alternative)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64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HR  (direct)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65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ph_hr  or derived from medians</w:t>
            </w:r>
          </w:p>
        </w:tc>
        <w:tc>
          <w:tcPr>
            <w:tcW w:w="201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C6EFCE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66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Same</w:t>
            </w:r>
          </w:p>
        </w:tc>
      </w:tr>
      <w:tr w:rsidR="00F445B2" w14:paraId="2308E26C" w14:textId="77777777">
        <w:trPr>
          <w:jc w:val="center"/>
        </w:trPr>
        <w:tc>
          <w:tcPr>
            <w:tcW w:w="216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68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Randomisation ratio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69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ran.r  (trt:ctrl scalar)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6A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ph_alloc  (trt:ctrl scalar)</w:t>
            </w:r>
          </w:p>
        </w:tc>
        <w:tc>
          <w:tcPr>
            <w:tcW w:w="201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C6EFCE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6B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Same</w:t>
            </w:r>
          </w:p>
        </w:tc>
      </w:tr>
      <w:tr w:rsidR="00F445B2" w14:paraId="2308E271" w14:textId="77777777">
        <w:trPr>
          <w:jc w:val="center"/>
        </w:trPr>
        <w:tc>
          <w:tcPr>
            <w:tcW w:w="216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6D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Control median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6E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mos  (months)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6F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ph_med_ctrl  (months)</w:t>
            </w:r>
          </w:p>
        </w:tc>
        <w:tc>
          <w:tcPr>
            <w:tcW w:w="201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C6EFCE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70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Same</w:t>
            </w:r>
          </w:p>
        </w:tc>
      </w:tr>
      <w:tr w:rsidR="00F445B2" w14:paraId="2308E276" w14:textId="77777777">
        <w:trPr>
          <w:jc w:val="center"/>
        </w:trPr>
        <w:tc>
          <w:tcPr>
            <w:tcW w:w="216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72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Dropout — control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73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drop0  (% over droptime months)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74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ph_dropout2  (annual rate)</w:t>
            </w:r>
          </w:p>
        </w:tc>
        <w:tc>
          <w:tcPr>
            <w:tcW w:w="201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EB9C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75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Different parameterisation</w:t>
            </w:r>
          </w:p>
        </w:tc>
      </w:tr>
      <w:tr w:rsidR="00F445B2" w14:paraId="2308E27B" w14:textId="77777777">
        <w:trPr>
          <w:jc w:val="center"/>
        </w:trPr>
        <w:tc>
          <w:tcPr>
            <w:tcW w:w="216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77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Dropout — treatment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78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drop1  (% over droptime months)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79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ph_dropout1  (annual rate)</w:t>
            </w:r>
          </w:p>
        </w:tc>
        <w:tc>
          <w:tcPr>
            <w:tcW w:w="201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EB9C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7A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Different parameterisation</w:t>
            </w:r>
          </w:p>
        </w:tc>
      </w:tr>
      <w:tr w:rsidR="00F445B2" w14:paraId="2308E280" w14:textId="77777777">
        <w:trPr>
          <w:jc w:val="center"/>
        </w:trPr>
        <w:tc>
          <w:tcPr>
            <w:tcW w:w="216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7C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Accrual duration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7D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rct.T  or length of monthly vector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7E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ph_accrual_time  (fixed months)</w:t>
            </w:r>
          </w:p>
        </w:tc>
        <w:tc>
          <w:tcPr>
            <w:tcW w:w="201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EB9C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7F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Different parameterisation</w:t>
            </w:r>
          </w:p>
        </w:tc>
      </w:tr>
      <w:tr w:rsidR="00F445B2" w14:paraId="2308E285" w14:textId="77777777">
        <w:trPr>
          <w:jc w:val="center"/>
        </w:trPr>
        <w:tc>
          <w:tcPr>
            <w:tcW w:w="216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81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lastRenderedPageBreak/>
              <w:t>Accrual shape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82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rpow  power function OR monthly rate vector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83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ph_accrual_rate  (constant patients/month, uniform)</w:t>
            </w:r>
          </w:p>
        </w:tc>
        <w:tc>
          <w:tcPr>
            <w:tcW w:w="201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C7CE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84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Fundamentally different</w:t>
            </w:r>
          </w:p>
        </w:tc>
      </w:tr>
      <w:tr w:rsidR="00F445B2" w14:paraId="2308E28A" w14:textId="77777777">
        <w:trPr>
          <w:jc w:val="center"/>
        </w:trPr>
        <w:tc>
          <w:tcPr>
            <w:tcW w:w="216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86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Follow-up time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87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Implicit in DCO / data maturity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88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ph_followup_time  (explicit months)</w:t>
            </w:r>
          </w:p>
        </w:tc>
        <w:tc>
          <w:tcPr>
            <w:tcW w:w="201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C7CE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89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Fundamentally different</w:t>
            </w:r>
          </w:p>
        </w:tc>
      </w:tr>
      <w:tr w:rsidR="00F445B2" w14:paraId="2308E28F" w14:textId="77777777">
        <w:trPr>
          <w:jc w:val="center"/>
        </w:trPr>
        <w:tc>
          <w:tcPr>
            <w:tcW w:w="216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8B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Information fraction at IA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8C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ifia  (single fraction)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8D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ph_info_fractions  (vector for K stages)</w:t>
            </w:r>
          </w:p>
        </w:tc>
        <w:tc>
          <w:tcPr>
            <w:tcW w:w="201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EB9C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8E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Different parameterisation</w:t>
            </w:r>
          </w:p>
        </w:tc>
      </w:tr>
      <w:tr w:rsidR="00F445B2" w14:paraId="2308E294" w14:textId="77777777">
        <w:trPr>
          <w:jc w:val="center"/>
        </w:trPr>
        <w:tc>
          <w:tcPr>
            <w:tcW w:w="216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90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Number of stages K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91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Hardcoded: 1 IA + 1 FA = 2 stages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92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ph_k  (flexible, 1–10)</w:t>
            </w:r>
          </w:p>
        </w:tc>
        <w:tc>
          <w:tcPr>
            <w:tcW w:w="201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C7CE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93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Fundamentally different</w:t>
            </w:r>
          </w:p>
        </w:tc>
      </w:tr>
      <w:tr w:rsidR="00F445B2" w14:paraId="2308E299" w14:textId="77777777">
        <w:trPr>
          <w:jc w:val="center"/>
        </w:trPr>
        <w:tc>
          <w:tcPr>
            <w:tcW w:w="216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95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Alpha spending function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96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Not applicable — custom PP/CP/HR/Z boundary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97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ph_alpha_spending  (OF, P, asOF, asKD, asHSD, asUser…)</w:t>
            </w:r>
          </w:p>
        </w:tc>
        <w:tc>
          <w:tcPr>
            <w:tcW w:w="201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C7CE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98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Fundamentally different</w:t>
            </w:r>
          </w:p>
        </w:tc>
      </w:tr>
      <w:tr w:rsidR="00F445B2" w14:paraId="2308E29E" w14:textId="77777777">
        <w:trPr>
          <w:jc w:val="center"/>
        </w:trPr>
        <w:tc>
          <w:tcPr>
            <w:tcW w:w="216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9A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Futility stopping metric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9B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PP, CP, HR threshold, Z-statistic (core output)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9C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ph_beta_spending  (bsOF, bsP, bsKD, bsHSD, bsUser)</w:t>
            </w:r>
          </w:p>
        </w:tc>
        <w:tc>
          <w:tcPr>
            <w:tcW w:w="201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C7CE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9D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Fundamentally different</w:t>
            </w:r>
          </w:p>
        </w:tc>
      </w:tr>
      <w:tr w:rsidR="00F445B2" w14:paraId="2308E2A3" w14:textId="77777777">
        <w:trPr>
          <w:jc w:val="center"/>
        </w:trPr>
        <w:tc>
          <w:tcPr>
            <w:tcW w:w="216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9F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Sample size vs. maturity toggle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A0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N_DM toggle: Sample Size or Data Maturity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A1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Always sample-size driven</w:t>
            </w:r>
          </w:p>
        </w:tc>
        <w:tc>
          <w:tcPr>
            <w:tcW w:w="201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C7CE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A2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Missing in StudyDesign</w:t>
            </w:r>
          </w:p>
        </w:tc>
      </w:tr>
      <w:tr w:rsidR="00F445B2" w14:paraId="2308E2A8" w14:textId="77777777">
        <w:trPr>
          <w:jc w:val="center"/>
        </w:trPr>
        <w:tc>
          <w:tcPr>
            <w:tcW w:w="2160" w:type="dxa"/>
            <w:tcBorders>
              <w:top w:val="single" w:color="666666" w:sz="6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A4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Total events as DCO input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A5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dcoevent  (alternative to power)</w:t>
            </w:r>
          </w:p>
        </w:tc>
        <w:tc>
          <w:tcPr>
            <w:tcW w:w="2880" w:type="dxa"/>
            <w:tcBorders>
              <w:top w:val="single" w:color="666666" w:sz="6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A6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>No direct equivalent</w:t>
            </w:r>
          </w:p>
        </w:tc>
        <w:tc>
          <w:tcPr>
            <w:tcW w:w="2016" w:type="dxa"/>
            <w:tcBorders>
              <w:top w:val="single" w:color="666666" w:sz="6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shd w:val="clear" w:color="auto" w:fill="FFC7CE"/>
            <w:tcMar>
              <w:top w:w="0" w:type="dxa"/>
              <w:left w:w="0" w:type="dxa"/>
              <w:bottom w:w="0" w:type="dxa"/>
              <w:right w:w="0" w:type="dxa"/>
            </w:tcMar>
          </w:tcPr>
          <w:p w:rsidR="00F445B2" w:rsidRDefault="00973418" w14:paraId="2308E2A7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80" w:after="80"/>
              <w:ind w:left="80" w:right="80"/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8"/>
              </w:rPr>
              <w:t>Missing in StudyDesign</w:t>
            </w:r>
          </w:p>
        </w:tc>
      </w:tr>
    </w:tbl>
    <w:p w:rsidR="00F445B2" w:rsidRDefault="00F445B2" w14:paraId="2308E2A9" w14:textId="77777777"/>
    <w:p w:rsidR="00F445B2" w:rsidRDefault="00973418" w14:paraId="2308E2AA" w14:textId="77777777">
      <w:pPr>
        <w:pStyle w:val="Heading1"/>
      </w:pPr>
      <w:r>
        <w:t>Integration Challenges</w:t>
      </w:r>
    </w:p>
    <w:p w:rsidR="00F445B2" w:rsidRDefault="00F445B2" w14:paraId="2308E2AB" w14:textId="77777777"/>
    <w:p w:rsidR="00F445B2" w:rsidRDefault="00973418" w14:paraId="2308E2AC" w14:textId="77777777">
      <w:pPr>
        <w:pStyle w:val="Heading2"/>
      </w:pPr>
      <w:r>
        <w:t>Challenge 1: Dropout Parameterisation Mismatch  ⚠</w:t>
      </w:r>
      <w:r>
        <w:t>️</w:t>
      </w:r>
    </w:p>
    <w:p w:rsidR="00F445B2" w:rsidRDefault="00973418" w14:paraId="2308E2AD" w14:textId="77777777">
      <w:r>
        <w:rPr>
          <w:rFonts w:ascii="Arial" w:hAnsi="Arial" w:eastAsia="Arial" w:cs="Arial"/>
          <w:color w:val="000000"/>
          <w:sz w:val="22"/>
          <w:szCs w:val="22"/>
        </w:rPr>
        <w:t xml:space="preserve">The Futility app takes dropout as a </w:t>
      </w:r>
      <w:r>
        <w:rPr>
          <w:rFonts w:ascii="Arial" w:hAnsi="Arial" w:eastAsia="Arial" w:cs="Arial"/>
          <w:b/>
          <w:color w:val="000000"/>
          <w:sz w:val="22"/>
          <w:szCs w:val="22"/>
        </w:rPr>
        <w:t>percentage by X months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and converts to an exponential hazard rate using:</w:t>
      </w:r>
    </w:p>
    <w:p w:rsidR="00F445B2" w:rsidRDefault="00973418" w14:paraId="2308E2AE" w14:textId="77777777">
      <w:r>
        <w:rPr>
          <w:rFonts w:ascii="Courier New" w:hAnsi="Courier New" w:eastAsia="Courier New" w:cs="Courier New"/>
          <w:color w:val="333333"/>
          <w:sz w:val="20"/>
          <w:szCs w:val="20"/>
        </w:rPr>
        <w:t>hzc = -log(1 - p) / droptime</w:t>
      </w:r>
    </w:p>
    <w:p w:rsidR="00F445B2" w:rsidRDefault="00973418" w14:paraId="2308E2AF" w14:textId="77777777">
      <w:r>
        <w:rPr>
          <w:rFonts w:ascii="Arial" w:hAnsi="Arial" w:eastAsia="Arial" w:cs="Arial"/>
          <w:color w:val="000000"/>
          <w:sz w:val="22"/>
          <w:szCs w:val="22"/>
        </w:rPr>
        <w:t xml:space="preserve">The StudyDesign app passes </w:t>
      </w:r>
      <w:r>
        <w:rPr>
          <w:rFonts w:ascii="Arial" w:hAnsi="Arial" w:eastAsia="Arial" w:cs="Arial"/>
          <w:b/>
          <w:color w:val="000000"/>
          <w:sz w:val="22"/>
          <w:szCs w:val="22"/>
        </w:rPr>
        <w:t>annual dropout rates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directly to rpact (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dropoutRate1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dropoutRate2</w:t>
      </w:r>
      <w:r>
        <w:rPr>
          <w:rFonts w:ascii="Arial" w:hAnsi="Arial" w:eastAsia="Arial" w:cs="Arial"/>
          <w:color w:val="000000"/>
          <w:sz w:val="22"/>
          <w:szCs w:val="22"/>
        </w:rPr>
        <w:t>). These are numerically different inputs for the same underlying concept.</w:t>
      </w:r>
    </w:p>
    <w:p w:rsidR="00F445B2" w:rsidRDefault="00973418" w14:paraId="2308E2B0" w14:textId="77777777"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Resolution: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Agree on one canonical convention (annual rate is simpler and matches rpact). Write a single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to_hzc(annual_rate)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conversion helper used everywhere. The Futility engine internally uses this to derive its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hzc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parameter.</w:t>
      </w:r>
    </w:p>
    <w:p w:rsidR="00F445B2" w:rsidRDefault="00F445B2" w14:paraId="2308E2B1" w14:textId="77777777"/>
    <w:p w:rsidR="00F445B2" w:rsidRDefault="00973418" w14:paraId="2308E2B2" w14:textId="77777777">
      <w:pPr>
        <w:pStyle w:val="Heading2"/>
      </w:pPr>
      <w:r>
        <w:t>Challenge 2: Accrual Model Mismatch  ❌  (Biggest Gap)</w:t>
      </w:r>
    </w:p>
    <w:p w:rsidR="00F445B2" w:rsidRDefault="00973418" w14:paraId="2308E2B3" w14:textId="77777777">
      <w:r>
        <w:rPr>
          <w:rFonts w:ascii="Arial" w:hAnsi="Arial" w:eastAsia="Arial" w:cs="Arial"/>
          <w:b/>
          <w:color w:val="7B4F00"/>
          <w:sz w:val="22"/>
          <w:szCs w:val="22"/>
        </w:rPr>
        <w:t>This is the most significant structural difference.</w:t>
      </w:r>
    </w:p>
    <w:p w:rsidR="00F445B2" w:rsidRDefault="00973418" w14:paraId="2308E2B4" w14:textId="77777777">
      <w:r>
        <w:rPr>
          <w:rFonts w:ascii="Arial" w:hAnsi="Arial" w:eastAsia="Arial" w:cs="Arial"/>
          <w:color w:val="000000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Futility app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supports two modes: (1) power function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F(t) = (t/T)^k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and (2) a user-specified monthly enrollment count vector (new in Phase 1).</w:t>
      </w:r>
    </w:p>
    <w:p w:rsidR="00F445B2" w:rsidRDefault="00973418" w14:paraId="2308E2B5" w14:textId="77777777">
      <w:r>
        <w:rPr>
          <w:rFonts w:ascii="Arial" w:hAnsi="Arial" w:eastAsia="Arial" w:cs="Arial"/>
          <w:color w:val="000000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StudyDesign app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uses rpact's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accrualTime + accrualIntensity</w:t>
      </w:r>
      <w:r>
        <w:rPr>
          <w:rFonts w:ascii="Arial" w:hAnsi="Arial" w:eastAsia="Arial" w:cs="Arial"/>
          <w:color w:val="000000"/>
          <w:sz w:val="22"/>
          <w:szCs w:val="22"/>
        </w:rPr>
        <w:t>, which currently assumes a constant (uniform) monthly rate.</w:t>
      </w:r>
    </w:p>
    <w:p w:rsidR="00F445B2" w:rsidRDefault="00973418" w14:paraId="2308E2B6" w14:textId="77777777"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Note: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rpact does support piecewise non-uniform accrual via vectors for both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accrualTime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and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accrualIntensity</w:t>
      </w:r>
      <w:r>
        <w:rPr>
          <w:rFonts w:ascii="Arial" w:hAnsi="Arial" w:eastAsia="Arial" w:cs="Arial"/>
          <w:color w:val="000000"/>
          <w:sz w:val="22"/>
          <w:szCs w:val="22"/>
        </w:rPr>
        <w:t>. So Futility's monthly rate vector can be translated into rpact format. The reverse is not true — the Futility custom engine has no concept of rpact-style accrual.</w:t>
      </w:r>
    </w:p>
    <w:p w:rsidR="00F445B2" w:rsidRDefault="00973418" w14:paraId="2308E2B7" w14:textId="77777777"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Resolution: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Agree that the integrated app uses rpact-style piecewise accrual as the canonical format. Junhan extends the StudyDesign accrual inputs to support piecewise rates (Phase 2 item). The Futility engine then receives the same vector already used in rpact calls, translated to its own schedule format via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make_pw_accrual_fns()</w:t>
      </w:r>
      <w:r>
        <w:rPr>
          <w:rFonts w:ascii="Arial" w:hAnsi="Arial" w:eastAsia="Arial" w:cs="Arial"/>
          <w:color w:val="000000"/>
          <w:sz w:val="22"/>
          <w:szCs w:val="22"/>
        </w:rPr>
        <w:t>.</w:t>
      </w:r>
    </w:p>
    <w:p w:rsidR="00F445B2" w:rsidRDefault="00F445B2" w14:paraId="2308E2B8" w14:textId="77777777"/>
    <w:p w:rsidR="00F445B2" w:rsidRDefault="00973418" w14:paraId="2308E2B9" w14:textId="77777777">
      <w:pPr>
        <w:pStyle w:val="Heading2"/>
      </w:pPr>
      <w:r>
        <w:lastRenderedPageBreak/>
        <w:t>Challenge 3: Futility Boundary Framework vs. Beta Spending  ❌</w:t>
      </w:r>
    </w:p>
    <w:p w:rsidR="00F445B2" w:rsidRDefault="00973418" w14:paraId="2308E2BA" w14:textId="77777777">
      <w:r>
        <w:rPr>
          <w:rFonts w:ascii="Arial" w:hAnsi="Arial" w:eastAsia="Arial" w:cs="Arial"/>
          <w:b/>
          <w:color w:val="8B0000"/>
          <w:sz w:val="22"/>
          <w:szCs w:val="22"/>
        </w:rPr>
        <w:t>This is the deepest conceptual gap.</w:t>
      </w:r>
    </w:p>
    <w:p w:rsidR="00F445B2" w:rsidRDefault="00973418" w14:paraId="2308E2BB" w14:textId="77777777">
      <w:r>
        <w:rPr>
          <w:rFonts w:ascii="Arial" w:hAnsi="Arial" w:eastAsia="Arial" w:cs="Arial"/>
          <w:color w:val="000000"/>
          <w:sz w:val="22"/>
          <w:szCs w:val="22"/>
        </w:rPr>
        <w:t>The Futility app's stopping rules — Predictive Probability, Conditional Power, HR threshold, Z-statistic — are not equivalent to rpact's formal beta spending functions (bsOF, bsP, bsKD, …), even though both produce a futility boundary. They are different frameworks:</w:t>
      </w:r>
    </w:p>
    <w:p w:rsidR="00F445B2" w:rsidRDefault="00973418" w14:paraId="2308E2BC" w14:textId="77777777">
      <w:r>
        <w:rPr>
          <w:rFonts w:ascii="Arial" w:hAnsi="Arial" w:eastAsia="Arial" w:cs="Arial"/>
          <w:color w:val="000000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rpact beta spending </w:t>
      </w:r>
      <w:r>
        <w:rPr>
          <w:rFonts w:ascii="Arial" w:hAnsi="Arial" w:eastAsia="Arial" w:cs="Arial"/>
          <w:color w:val="000000"/>
          <w:sz w:val="22"/>
          <w:szCs w:val="22"/>
        </w:rPr>
        <w:t>defines a boundary by how type II error is allocated across looks. The boundary value is derived from the spending function.</w:t>
      </w:r>
    </w:p>
    <w:p w:rsidR="00F445B2" w:rsidRDefault="00973418" w14:paraId="2308E2BD" w14:textId="77777777">
      <w:r>
        <w:rPr>
          <w:rFonts w:ascii="Arial" w:hAnsi="Arial" w:eastAsia="Arial" w:cs="Arial"/>
          <w:color w:val="000000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Futility app boundaries </w:t>
      </w:r>
      <w:r>
        <w:rPr>
          <w:rFonts w:ascii="Arial" w:hAnsi="Arial" w:eastAsia="Arial" w:cs="Arial"/>
          <w:color w:val="000000"/>
          <w:sz w:val="22"/>
          <w:szCs w:val="22"/>
        </w:rPr>
        <w:t>define a stopping rule based on the current evidence (observed Z, estimated HR, or posterior probability of eventual success). These are directly interpretable clinical quantities.</w:t>
      </w:r>
    </w:p>
    <w:p w:rsidR="00F445B2" w:rsidRDefault="00973418" w14:paraId="2308E2BE" w14:textId="77777777"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Resolution: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Do not attempt to merge the two into one input form. Expose both paradigms in the integrated app as separate, clearly labelled sections — </w:t>
      </w:r>
      <w:r>
        <w:rPr>
          <w:rFonts w:ascii="Arial" w:hAnsi="Arial" w:eastAsia="Arial" w:cs="Arial"/>
          <w:i/>
          <w:color w:val="000000"/>
          <w:sz w:val="22"/>
          <w:szCs w:val="22"/>
        </w:rPr>
        <w:t>"Efficacy/Futility Boundaries (Group Sequential, rpact)"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and </w:t>
      </w:r>
      <w:r>
        <w:rPr>
          <w:rFonts w:ascii="Arial" w:hAnsi="Arial" w:eastAsia="Arial" w:cs="Arial"/>
          <w:i/>
          <w:color w:val="000000"/>
          <w:sz w:val="22"/>
          <w:szCs w:val="22"/>
        </w:rPr>
        <w:t>"Futility IA Operating Characteristics (Predictive/Conditional Power)"</w:t>
      </w:r>
      <w:r>
        <w:rPr>
          <w:rFonts w:ascii="Arial" w:hAnsi="Arial" w:eastAsia="Arial" w:cs="Arial"/>
          <w:color w:val="000000"/>
          <w:sz w:val="22"/>
          <w:szCs w:val="22"/>
        </w:rPr>
        <w:t>. This maps naturally to the pptx template outputs and preserves the full capability of both tools.</w:t>
      </w:r>
    </w:p>
    <w:p w:rsidR="00F445B2" w:rsidRDefault="00F445B2" w14:paraId="2308E2BF" w14:textId="77777777"/>
    <w:p w:rsidR="00F445B2" w:rsidRDefault="00973418" w14:paraId="2308E2C0" w14:textId="77777777">
      <w:pPr>
        <w:pStyle w:val="Heading2"/>
      </w:pPr>
      <w:r>
        <w:t>Challenge 4: Multi-Stage vs. Two-Stage Design  ❌</w:t>
      </w:r>
    </w:p>
    <w:p w:rsidR="00F445B2" w:rsidRDefault="00973418" w14:paraId="2308E2C1" w14:textId="77777777">
      <w:r>
        <w:rPr>
          <w:rFonts w:ascii="Arial" w:hAnsi="Arial" w:eastAsia="Arial" w:cs="Arial"/>
          <w:color w:val="000000"/>
          <w:sz w:val="22"/>
          <w:szCs w:val="22"/>
        </w:rPr>
        <w:t xml:space="preserve">The Futility app is hardcoded for a two-stage design (one IA + one FA). The StudyDesign app supports K = 1 to 10 stages via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ph_k</w:t>
      </w:r>
      <w:r>
        <w:rPr>
          <w:rFonts w:ascii="Arial" w:hAnsi="Arial" w:eastAsia="Arial" w:cs="Arial"/>
          <w:color w:val="000000"/>
          <w:sz w:val="22"/>
          <w:szCs w:val="22"/>
        </w:rPr>
        <w:t>.</w:t>
      </w:r>
    </w:p>
    <w:p w:rsidR="00F445B2" w:rsidRDefault="00973418" w14:paraId="2308E2C2" w14:textId="77777777"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Resolution: </w:t>
      </w:r>
      <w:r>
        <w:rPr>
          <w:rFonts w:ascii="Arial" w:hAnsi="Arial" w:eastAsia="Arial" w:cs="Arial"/>
          <w:color w:val="000000"/>
          <w:sz w:val="22"/>
          <w:szCs w:val="22"/>
        </w:rPr>
        <w:t>In the integrated app, the Futility IA section remains a two-stage tool — this is by design, as the predictive/conditional power framework is specifically a single-interim concept. Make this explicit in the UI with a label such as "One Interim Analysis (Futility IA)". Multi-stage group sequential boundaries are handled by the rpact section.</w:t>
      </w:r>
    </w:p>
    <w:p w:rsidR="00F445B2" w:rsidRDefault="00F445B2" w14:paraId="2308E2C3" w14:textId="77777777"/>
    <w:p w:rsidR="00F445B2" w:rsidRDefault="00973418" w14:paraId="2308E2C4" w14:textId="77777777">
      <w:pPr>
        <w:pStyle w:val="Heading2"/>
      </w:pPr>
      <w:r>
        <w:t>Challenge 5: Shiny Architecture Mismatch</w:t>
      </w:r>
    </w:p>
    <w:p w:rsidR="00F445B2" w:rsidRDefault="00973418" w14:paraId="2308E2C5" w14:textId="77777777">
      <w:r>
        <w:rPr>
          <w:rFonts w:ascii="Arial" w:hAnsi="Arial" w:eastAsia="Arial" w:cs="Arial"/>
          <w:color w:val="000000"/>
          <w:sz w:val="22"/>
          <w:szCs w:val="22"/>
        </w:rPr>
        <w:t xml:space="preserve">StudyDesign app uses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shinydashboard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with proper Shiny modules (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NS() / moduleServer()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). The Futility app uses a flat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fluidPage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with no module encapsulation — all inputs are global and server logic is in a single reactive chain.</w:t>
      </w:r>
    </w:p>
    <w:p w:rsidR="00F445B2" w:rsidRDefault="00973418" w14:paraId="2308E2C6" w14:textId="77777777"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Resolution: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Wrap the Futility server logic into a proper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moduleServer()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before the merge. This is a self-contained refactor with no statistical changes, and it de-risks the integration significantly by preventing input ID collisions.</w:t>
      </w:r>
    </w:p>
    <w:p w:rsidR="00F445B2" w:rsidRDefault="00F445B2" w14:paraId="2308E2C7" w14:textId="77777777"/>
    <w:p w:rsidR="00F445B2" w:rsidRDefault="00973418" w14:paraId="2308E2C8" w14:textId="77777777">
      <w:pPr>
        <w:pStyle w:val="Heading1"/>
      </w:pPr>
      <w:r>
        <w:t>Suggestions for Smoother Integration</w:t>
      </w:r>
    </w:p>
    <w:p w:rsidR="00F445B2" w:rsidRDefault="00973418" w14:paraId="2308E2C9" w14:textId="77777777">
      <w:r>
        <w:rPr>
          <w:rFonts w:ascii="Arial" w:hAnsi="Arial" w:eastAsia="Arial" w:cs="Arial"/>
          <w:color w:val="000000"/>
          <w:sz w:val="22"/>
          <w:szCs w:val="22"/>
        </w:rPr>
        <w:t>The following actions are recommended before Phase 3 (Merge Functions) begins.</w:t>
      </w:r>
    </w:p>
    <w:p w:rsidR="00F445B2" w:rsidRDefault="00F445B2" w14:paraId="2308E2CA" w14:textId="77777777"/>
    <w:p w:rsidR="00F445B2" w:rsidRDefault="00973418" w14:paraId="2308E2CB" w14:textId="77777777">
      <w:pPr>
        <w:pStyle w:val="Heading2"/>
      </w:pPr>
      <w:r>
        <w:t>Define a shared canonical input schema (pre-Phase 3 agreement)</w:t>
      </w:r>
    </w:p>
    <w:p w:rsidR="00F445B2" w:rsidRDefault="00973418" w14:paraId="2308E2CC" w14:textId="77777777">
      <w:r>
        <w:rPr>
          <w:rFonts w:ascii="Arial" w:hAnsi="Arial" w:eastAsia="Arial" w:cs="Arial"/>
          <w:color w:val="000000"/>
          <w:sz w:val="22"/>
          <w:szCs w:val="22"/>
        </w:rPr>
        <w:t>Create a named R list (or a lightweight S3 class) that captures the common trial parameters in one agreed format:</w:t>
      </w:r>
    </w:p>
    <w:p w:rsidR="00F445B2" w:rsidRDefault="00973418" w14:paraId="2308E2CD" w14:textId="77777777">
      <w:r>
        <w:rPr>
          <w:rFonts w:ascii="Courier New" w:hAnsi="Courier New" w:eastAsia="Courier New" w:cs="Courier New"/>
          <w:color w:val="333333"/>
          <w:sz w:val="20"/>
          <w:szCs w:val="20"/>
        </w:rPr>
        <w:t>list(alpha, power, HR, control_median, rand_ratio,      dropout_ctrl_annual, dropout_trt_annual,      accrual_times, accrual_rates, followup_time)</w:t>
      </w:r>
    </w:p>
    <w:p w:rsidR="00F445B2" w:rsidRDefault="00973418" w14:paraId="2308E2CE" w14:textId="77777777">
      <w:r>
        <w:rPr>
          <w:rFonts w:ascii="Arial" w:hAnsi="Arial" w:eastAsia="Arial" w:cs="Arial"/>
          <w:color w:val="000000"/>
          <w:sz w:val="22"/>
          <w:szCs w:val="22"/>
        </w:rPr>
        <w:t>Both the Futility module and the StudyDesign modules parse their UI inputs into this schema via their own parse_inputs() function. Computation functions receive the schema, not raw Shiny inputs. This decouples UI from computation and makes the Phase 3 merge much cleaner.</w:t>
      </w:r>
    </w:p>
    <w:p w:rsidR="00F445B2" w:rsidRDefault="00F445B2" w14:paraId="2308E2CF" w14:textId="77777777"/>
    <w:p w:rsidR="00F445B2" w:rsidRDefault="00973418" w14:paraId="2308E2D0" w14:textId="77777777">
      <w:pPr>
        <w:pStyle w:val="Heading2"/>
      </w:pPr>
      <w:r>
        <w:lastRenderedPageBreak/>
        <w:t>Standardise dropout to annual hazard rate</w:t>
      </w:r>
    </w:p>
    <w:p w:rsidR="00F445B2" w:rsidRDefault="00973418" w14:paraId="2308E2D1" w14:textId="77777777">
      <w:r>
        <w:rPr>
          <w:rFonts w:ascii="Arial" w:hAnsi="Arial" w:eastAsia="Arial" w:cs="Arial"/>
          <w:color w:val="000000"/>
          <w:sz w:val="22"/>
          <w:szCs w:val="22"/>
        </w:rPr>
        <w:t>Write one conversion helper used by both apps:</w:t>
      </w:r>
    </w:p>
    <w:p w:rsidR="00F445B2" w:rsidRDefault="00973418" w14:paraId="2308E2D2" w14:textId="77777777">
      <w:r>
        <w:rPr>
          <w:rFonts w:ascii="Courier New" w:hAnsi="Courier New" w:eastAsia="Courier New" w:cs="Courier New"/>
          <w:color w:val="333333"/>
          <w:sz w:val="20"/>
          <w:szCs w:val="20"/>
        </w:rPr>
        <w:t>annual_to_hzc &lt;- function(annual_rate) -log(1 - annual_rate) / 12</w:t>
      </w:r>
    </w:p>
    <w:p w:rsidR="00F445B2" w:rsidRDefault="00973418" w14:paraId="2308E2D3" w14:textId="77777777">
      <w:r>
        <w:rPr>
          <w:rFonts w:ascii="Arial" w:hAnsi="Arial" w:eastAsia="Arial" w:cs="Arial"/>
          <w:color w:val="000000"/>
          <w:sz w:val="22"/>
          <w:szCs w:val="22"/>
        </w:rPr>
        <w:t>The Futility engine already does this internally. Expose it as a shared utility in utils_shared.R so both modules call the same function.</w:t>
      </w:r>
    </w:p>
    <w:p w:rsidR="00F445B2" w:rsidRDefault="00F445B2" w14:paraId="2308E2D4" w14:textId="77777777"/>
    <w:p w:rsidR="00F445B2" w:rsidRDefault="00973418" w14:paraId="2308E2D5" w14:textId="77777777">
      <w:pPr>
        <w:pStyle w:val="Heading2"/>
      </w:pPr>
      <w:r>
        <w:t>Extract Futility engine into a standalone source file</w:t>
      </w:r>
    </w:p>
    <w:p w:rsidR="00F445B2" w:rsidRDefault="00973418" w14:paraId="2308E2D6" w14:textId="77777777">
      <w:r>
        <w:rPr>
          <w:rFonts w:ascii="Arial" w:hAnsi="Arial" w:eastAsia="Arial" w:cs="Arial"/>
          <w:color w:val="000000"/>
          <w:sz w:val="22"/>
          <w:szCs w:val="22"/>
        </w:rPr>
        <w:t>Move all Futility statistical functions (rct.r, rct.d, Atrsk, dmm, dmmt, cmmt, Tdco, pfstp, pjfun, m.pow, DRC.Template, and the new piecewise accrual helpers) into a dedicated file — e.g. utils_futility.R — mirroring Junhan's utils_*.R structure.</w:t>
      </w:r>
    </w:p>
    <w:p w:rsidR="00F445B2" w:rsidRDefault="00973418" w14:paraId="2308E2D7" w14:textId="77777777">
      <w:r>
        <w:rPr>
          <w:rFonts w:ascii="Arial" w:hAnsi="Arial" w:eastAsia="Arial" w:cs="Arial"/>
          <w:color w:val="000000"/>
          <w:sz w:val="22"/>
          <w:szCs w:val="22"/>
        </w:rPr>
        <w:t>Both apps can source this file independently today. The integrated app sources it once. No statistical changes required.</w:t>
      </w:r>
    </w:p>
    <w:p w:rsidR="00F445B2" w:rsidRDefault="00F445B2" w14:paraId="2308E2D8" w14:textId="77777777"/>
    <w:p w:rsidR="00F445B2" w:rsidRDefault="00973418" w14:paraId="2308E2D9" w14:textId="77777777">
      <w:pPr>
        <w:pStyle w:val="Heading2"/>
      </w:pPr>
      <w:r>
        <w:t>Wrap Futility UI/server into a Shiny module</w:t>
      </w:r>
    </w:p>
    <w:p w:rsidR="00F445B2" w:rsidRDefault="00973418" w14:paraId="2308E2DA" w14:textId="77777777">
      <w:r>
        <w:rPr>
          <w:rFonts w:ascii="Arial" w:hAnsi="Arial" w:eastAsia="Arial" w:cs="Arial"/>
          <w:color w:val="000000"/>
          <w:sz w:val="22"/>
          <w:szCs w:val="22"/>
        </w:rPr>
        <w:t>Refactor the Futility app's flat server logic into mod_futility_ui(id) and mod_futility_server(id) following the same pattern as mod_ia_boundary and mod_sample_size. This is a structural refactor only — no statistical changes.</w:t>
      </w:r>
    </w:p>
    <w:p w:rsidR="00F445B2" w:rsidRDefault="00973418" w14:paraId="2308E2DB" w14:textId="77777777">
      <w:r>
        <w:rPr>
          <w:rFonts w:ascii="Arial" w:hAnsi="Arial" w:eastAsia="Arial" w:cs="Arial"/>
          <w:color w:val="000000"/>
          <w:sz w:val="22"/>
          <w:szCs w:val="22"/>
        </w:rPr>
        <w:t>Benefit: eliminates the risk of input ID collisions when both apps are combined into one dashboardBody.</w:t>
      </w:r>
    </w:p>
    <w:p w:rsidR="00F445B2" w:rsidRDefault="00F445B2" w14:paraId="2308E2DC" w14:textId="77777777"/>
    <w:p w:rsidR="00F445B2" w:rsidRDefault="00973418" w14:paraId="2308E2DD" w14:textId="77777777">
      <w:pPr>
        <w:pStyle w:val="Heading2"/>
      </w:pPr>
      <w:r>
        <w:t>Keep the two boundary frameworks as separate UI sections</w:t>
      </w:r>
    </w:p>
    <w:p w:rsidR="00F445B2" w:rsidRDefault="00973418" w14:paraId="2308E2DE" w14:textId="77777777">
      <w:r>
        <w:rPr>
          <w:rFonts w:ascii="Arial" w:hAnsi="Arial" w:eastAsia="Arial" w:cs="Arial"/>
          <w:color w:val="000000"/>
          <w:sz w:val="22"/>
          <w:szCs w:val="22"/>
        </w:rPr>
        <w:t>Do not try to unify the rpact beta-spending boundary and the Futility predictive/conditional power boundary into one input panel. The pptx output template shows them as distinct outputs anyway.</w:t>
      </w:r>
    </w:p>
    <w:p w:rsidR="00F445B2" w:rsidRDefault="00973418" w14:paraId="2308E2DF" w14:textId="77777777">
      <w:r>
        <w:rPr>
          <w:rFonts w:ascii="Arial" w:hAnsi="Arial" w:eastAsia="Arial" w:cs="Arial"/>
          <w:color w:val="000000"/>
          <w:sz w:val="22"/>
          <w:szCs w:val="22"/>
        </w:rPr>
        <w:t>Suggested tab structure for the integrated app:</w:t>
      </w:r>
    </w:p>
    <w:p w:rsidR="00F445B2" w:rsidRDefault="00973418" w14:paraId="2308E2E0" w14:textId="77777777">
      <w:r>
        <w:rPr>
          <w:rFonts w:ascii="Arial" w:hAnsi="Arial" w:eastAsia="Arial" w:cs="Arial"/>
          <w:color w:val="000000"/>
          <w:sz w:val="22"/>
          <w:szCs w:val="22"/>
        </w:rPr>
        <w:t>•  M1a: IA Boundary Re-calculation (rpact) — Junhan's current work</w:t>
      </w:r>
    </w:p>
    <w:p w:rsidR="00F445B2" w:rsidRDefault="00973418" w14:paraId="2308E2E1" w14:textId="77777777">
      <w:r>
        <w:rPr>
          <w:rFonts w:ascii="Arial" w:hAnsi="Arial" w:eastAsia="Arial" w:cs="Arial"/>
          <w:color w:val="000000"/>
          <w:sz w:val="22"/>
          <w:szCs w:val="22"/>
        </w:rPr>
        <w:t>•  M1b: Sample Size — PH (rpact) — Junhan's current work</w:t>
      </w:r>
    </w:p>
    <w:p w:rsidR="00F445B2" w:rsidRDefault="00973418" w14:paraId="2308E2E2" w14:textId="77777777">
      <w:r>
        <w:rPr>
          <w:rFonts w:ascii="Arial" w:hAnsi="Arial" w:eastAsia="Arial" w:cs="Arial"/>
          <w:color w:val="000000"/>
          <w:sz w:val="22"/>
          <w:szCs w:val="22"/>
        </w:rPr>
        <w:t>•  M1c: Sample Size — NPH (gsDesign2) — Junhan's current work</w:t>
      </w:r>
    </w:p>
    <w:p w:rsidR="00F445B2" w:rsidRDefault="00973418" w14:paraId="2308E2E3" w14:textId="77777777">
      <w:r>
        <w:rPr>
          <w:rFonts w:ascii="Arial" w:hAnsi="Arial" w:eastAsia="Arial" w:cs="Arial"/>
          <w:color w:val="000000"/>
          <w:sz w:val="22"/>
          <w:szCs w:val="22"/>
        </w:rPr>
        <w:t>•  M2:  Futility IA Operating Characteristics — Fanni's work</w:t>
      </w:r>
    </w:p>
    <w:p w:rsidR="00F445B2" w:rsidRDefault="00F445B2" w14:paraId="2308E2E4" w14:textId="77777777"/>
    <w:p w:rsidR="00F445B2" w:rsidRDefault="00973418" w14:paraId="2308E2E5" w14:textId="77777777">
      <w:pPr>
        <w:pStyle w:val="Heading2"/>
      </w:pPr>
      <w:r>
        <w:t>Extend StudyDesign accrual to support piecewise rates (Phase 2 item for Junhan)</w:t>
      </w:r>
    </w:p>
    <w:p w:rsidR="00F445B2" w:rsidRDefault="00973418" w14:paraId="2308E2E6" w14:textId="77777777">
      <w:r>
        <w:rPr>
          <w:rFonts w:ascii="Arial" w:hAnsi="Arial" w:eastAsia="Arial" w:cs="Arial"/>
          <w:color w:val="000000"/>
          <w:sz w:val="22"/>
          <w:szCs w:val="22"/>
        </w:rPr>
        <w:t>rpact natively supports piecewise accrual via vectors:</w:t>
      </w:r>
    </w:p>
    <w:p w:rsidR="00F445B2" w:rsidRDefault="00973418" w14:paraId="2308E2E7" w14:textId="77777777">
      <w:r>
        <w:rPr>
          <w:rFonts w:ascii="Courier New" w:hAnsi="Courier New" w:eastAsia="Courier New" w:cs="Courier New"/>
          <w:color w:val="333333"/>
          <w:sz w:val="20"/>
          <w:szCs w:val="20"/>
        </w:rPr>
        <w:t>accrualTime      = c(0, 6, 12, 18) accrualIntensity = c(10, 20, 30)   # patients/month per interval</w:t>
      </w:r>
    </w:p>
    <w:p w:rsidR="00F445B2" w:rsidRDefault="00973418" w14:paraId="2308E2E8" w14:textId="77777777">
      <w:r>
        <w:rPr>
          <w:rFonts w:ascii="Arial" w:hAnsi="Arial" w:eastAsia="Arial" w:cs="Arial"/>
          <w:color w:val="000000"/>
          <w:sz w:val="22"/>
          <w:szCs w:val="22"/>
        </w:rPr>
        <w:t>Junhan adding this UI option in Phase 2 means the monthly rate vector from Fanni's Phase 1 work can be passed directly to rpact in the integrated app, giving both engines the same accrual assumption.</w:t>
      </w:r>
    </w:p>
    <w:p w:rsidR="00F445B2" w:rsidRDefault="00F445B2" w14:paraId="2308E2E9" w14:textId="77777777"/>
    <w:p w:rsidR="00F445B2" w:rsidRDefault="00973418" w14:paraId="2308E2EA" w14:textId="77777777">
      <w:pPr>
        <w:pStyle w:val="Heading1"/>
      </w:pPr>
      <w:r>
        <w:t>Recommended Pre-Phase 3 Checklist</w:t>
      </w:r>
    </w:p>
    <w:p w:rsidR="00F445B2" w:rsidP="193887F6" w:rsidRDefault="00973418" w14:paraId="2308E2EB" w14:textId="2DE59EF4">
      <w:pPr>
        <w:rPr>
          <w:rFonts w:ascii="Arial" w:hAnsi="Arial" w:eastAsia="Arial" w:cs="Arial"/>
          <w:color w:val="000000" w:themeColor="text1" w:themeTint="FF" w:themeShade="FF"/>
          <w:sz w:val="22"/>
          <w:szCs w:val="22"/>
        </w:rPr>
      </w:pPr>
    </w:p>
    <w:p w:rsidR="00F445B2" w:rsidRDefault="00F445B2" w14:paraId="2308E2EC" w14:textId="77777777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08"/>
        <w:gridCol w:w="6480"/>
        <w:gridCol w:w="576"/>
      </w:tblGrid>
      <w:tr w:rsidR="00F445B2" w14:paraId="2308E2F0" w14:textId="77777777">
        <w:trPr>
          <w:tblHeader/>
          <w:jc w:val="center"/>
        </w:trPr>
        <w:tc>
          <w:tcPr>
            <w:tcW w:w="1008" w:type="dxa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shd w:val="clear" w:color="auto" w:fill="2E405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2ED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6480" w:type="dxa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shd w:val="clear" w:color="auto" w:fill="2E405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2EE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b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76" w:type="dxa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shd w:val="clear" w:color="auto" w:fill="2E405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2EF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  <w:jc w:val="center"/>
            </w:pPr>
            <w:r>
              <w:rPr>
                <w:rFonts w:ascii="DejaVu Sans" w:hAnsi="DejaVu Sans" w:eastAsia="DejaVu Sans" w:cs="DejaVu Sans"/>
                <w:b/>
                <w:color w:val="FFFFFF"/>
                <w:sz w:val="20"/>
                <w:szCs w:val="20"/>
              </w:rPr>
              <w:t>Done</w:t>
            </w:r>
          </w:p>
        </w:tc>
      </w:tr>
      <w:tr w:rsidR="00F445B2" w14:paraId="2308E2F4" w14:textId="77777777">
        <w:trPr>
          <w:jc w:val="center"/>
        </w:trPr>
        <w:tc>
          <w:tcPr>
            <w:tcW w:w="1008" w:type="dxa"/>
            <w:tcBorders>
              <w:top w:val="single" w:color="666666" w:sz="12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DCEEF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2F1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Fanni</w:t>
            </w:r>
          </w:p>
        </w:tc>
        <w:tc>
          <w:tcPr>
            <w:tcW w:w="6480" w:type="dxa"/>
            <w:tcBorders>
              <w:top w:val="single" w:color="666666" w:sz="12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2F2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Extract Futility statistical functions into utils_futility.R</w:t>
            </w:r>
          </w:p>
        </w:tc>
        <w:tc>
          <w:tcPr>
            <w:tcW w:w="576" w:type="dxa"/>
            <w:tcBorders>
              <w:top w:val="single" w:color="666666" w:sz="12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2F3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  <w:jc w:val="center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☐</w:t>
            </w:r>
          </w:p>
        </w:tc>
      </w:tr>
      <w:tr w:rsidR="00F445B2" w14:paraId="2308E2F8" w14:textId="77777777">
        <w:trPr>
          <w:jc w:val="center"/>
        </w:trPr>
        <w:tc>
          <w:tcPr>
            <w:tcW w:w="1008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DCEEF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2F5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lastRenderedPageBreak/>
              <w:t>Fanni</w:t>
            </w:r>
          </w:p>
        </w:tc>
        <w:tc>
          <w:tcPr>
            <w:tcW w:w="64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2F6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Wrap Futility UI/server into mod_futility_ui() / mod_futility_server()</w:t>
            </w:r>
          </w:p>
        </w:tc>
        <w:tc>
          <w:tcPr>
            <w:tcW w:w="57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2F7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  <w:jc w:val="center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☐</w:t>
            </w:r>
          </w:p>
        </w:tc>
      </w:tr>
      <w:tr w:rsidR="00F445B2" w14:paraId="2308E2FC" w14:textId="77777777">
        <w:trPr>
          <w:jc w:val="center"/>
        </w:trPr>
        <w:tc>
          <w:tcPr>
            <w:tcW w:w="1008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DCEEF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2F9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Fanni</w:t>
            </w:r>
          </w:p>
        </w:tc>
        <w:tc>
          <w:tcPr>
            <w:tcW w:w="64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2FA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Add annual_to_hzc() to a shared utils_shared.R</w:t>
            </w:r>
          </w:p>
        </w:tc>
        <w:tc>
          <w:tcPr>
            <w:tcW w:w="57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2FB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  <w:jc w:val="center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☐</w:t>
            </w:r>
          </w:p>
        </w:tc>
      </w:tr>
      <w:tr w:rsidR="00F445B2" w14:paraId="2308E300" w14:textId="77777777">
        <w:trPr>
          <w:jc w:val="center"/>
        </w:trPr>
        <w:tc>
          <w:tcPr>
            <w:tcW w:w="1008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2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2FD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Both</w:t>
            </w:r>
          </w:p>
        </w:tc>
        <w:tc>
          <w:tcPr>
            <w:tcW w:w="64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2FE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Agree on the canonical shared input schema (named list format)</w:t>
            </w:r>
          </w:p>
        </w:tc>
        <w:tc>
          <w:tcPr>
            <w:tcW w:w="57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2FF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  <w:jc w:val="center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☐</w:t>
            </w:r>
          </w:p>
        </w:tc>
      </w:tr>
      <w:tr w:rsidR="00F445B2" w14:paraId="2308E304" w14:textId="77777777">
        <w:trPr>
          <w:jc w:val="center"/>
        </w:trPr>
        <w:tc>
          <w:tcPr>
            <w:tcW w:w="1008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2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301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Both</w:t>
            </w:r>
          </w:p>
        </w:tc>
        <w:tc>
          <w:tcPr>
            <w:tcW w:w="64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302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Agree on the integrated app tab structure</w:t>
            </w:r>
          </w:p>
        </w:tc>
        <w:tc>
          <w:tcPr>
            <w:tcW w:w="57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303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  <w:jc w:val="center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☐</w:t>
            </w:r>
          </w:p>
        </w:tc>
      </w:tr>
      <w:tr w:rsidR="00F445B2" w14:paraId="2308E308" w14:textId="77777777">
        <w:trPr>
          <w:jc w:val="center"/>
        </w:trPr>
        <w:tc>
          <w:tcPr>
            <w:tcW w:w="1008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E2EFD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305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Junhan</w:t>
            </w:r>
          </w:p>
        </w:tc>
        <w:tc>
          <w:tcPr>
            <w:tcW w:w="6480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306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Extend StudyDesign accrual inputs to support piecewise rates (rpact vectors)</w:t>
            </w:r>
          </w:p>
        </w:tc>
        <w:tc>
          <w:tcPr>
            <w:tcW w:w="576" w:type="dxa"/>
            <w:tcBorders>
              <w:top w:val="single" w:color="666666" w:sz="6" w:space="0"/>
              <w:left w:val="none" w:color="000000" w:sz="0" w:space="0"/>
              <w:bottom w:val="single" w:color="666666" w:sz="6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307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  <w:jc w:val="center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☐</w:t>
            </w:r>
          </w:p>
        </w:tc>
      </w:tr>
      <w:tr w:rsidR="00F445B2" w14:paraId="2308E30C" w14:textId="77777777">
        <w:trPr>
          <w:jc w:val="center"/>
        </w:trPr>
        <w:tc>
          <w:tcPr>
            <w:tcW w:w="1008" w:type="dxa"/>
            <w:tcBorders>
              <w:top w:val="single" w:color="666666" w:sz="6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shd w:val="clear" w:color="auto" w:fill="E2EFD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309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Junhan</w:t>
            </w:r>
          </w:p>
        </w:tc>
        <w:tc>
          <w:tcPr>
            <w:tcW w:w="6480" w:type="dxa"/>
            <w:tcBorders>
              <w:top w:val="single" w:color="666666" w:sz="6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30A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Confirm all StudyDesign modules use the agreed shared input schema</w:t>
            </w:r>
          </w:p>
        </w:tc>
        <w:tc>
          <w:tcPr>
            <w:tcW w:w="576" w:type="dxa"/>
            <w:tcBorders>
              <w:top w:val="single" w:color="666666" w:sz="6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5B2" w:rsidRDefault="00973418" w14:paraId="2308E30B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/>
              <w:ind w:left="100" w:right="100"/>
              <w:jc w:val="center"/>
            </w:pPr>
            <w:r>
              <w:rPr>
                <w:rFonts w:ascii="DejaVu Sans" w:hAnsi="DejaVu Sans" w:eastAsia="DejaVu Sans" w:cs="DejaVu Sans"/>
                <w:color w:val="000000"/>
                <w:sz w:val="20"/>
                <w:szCs w:val="20"/>
              </w:rPr>
              <w:t>☐</w:t>
            </w:r>
          </w:p>
        </w:tc>
      </w:tr>
    </w:tbl>
    <w:p w:rsidR="00F445B2" w:rsidRDefault="00F445B2" w14:paraId="2308E30D" w14:textId="77777777"/>
    <w:sectPr w:rsidR="00F445B2" w:rsidSect="00747CCE">
      <w:type w:val="continuous"/>
      <w:pgSz w:w="11900" w:h="16840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32485993">
    <w:abstractNumId w:val="1"/>
  </w:num>
  <w:num w:numId="2" w16cid:durableId="646011935">
    <w:abstractNumId w:val="2"/>
  </w:num>
  <w:num w:numId="3" w16cid:durableId="143020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5B2"/>
    <w:rsid w:val="00126069"/>
    <w:rsid w:val="00973418"/>
    <w:rsid w:val="00B71C45"/>
    <w:rsid w:val="00F445B2"/>
    <w:rsid w:val="19388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8E23F"/>
  <w15:docId w15:val="{BA2E97F6-CC14-4F03-8105-7D8911DC8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trong1" w:customStyle="1">
    <w:name w:val="Strong1"/>
    <w:basedOn w:val="DefaultParagraphFont"/>
    <w:uiPriority w:val="1"/>
    <w:qFormat/>
    <w:rsid w:val="007B3E96"/>
    <w:rPr>
      <w:b/>
    </w:rPr>
  </w:style>
  <w:style w:type="paragraph" w:styleId="centered" w:customStyle="1">
    <w:name w:val="centered"/>
    <w:basedOn w:val="Normal"/>
    <w:qFormat/>
    <w:rsid w:val="001D75AB"/>
    <w:pPr>
      <w:jc w:val="center"/>
    </w:pPr>
  </w:style>
  <w:style w:type="table" w:styleId="tabletemplate" w:customStyle="1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62E65"/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62E65"/>
    <w:rPr>
      <w:rFonts w:asciiTheme="majorHAnsi" w:hAnsiTheme="majorHAnsi" w:eastAsiaTheme="majorEastAsia" w:cstheme="majorBidi"/>
      <w:b/>
      <w:bCs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62E65"/>
    <w:rPr>
      <w:rFonts w:asciiTheme="majorHAnsi" w:hAnsiTheme="majorHAnsi" w:eastAsiaTheme="majorEastAsia" w:cstheme="majorBidi"/>
      <w:b/>
      <w:bCs/>
    </w:rPr>
  </w:style>
  <w:style w:type="paragraph" w:styleId="ImageCaption" w:customStyle="1">
    <w:name w:val="Image Caption"/>
    <w:basedOn w:val="Normal"/>
    <w:qFormat/>
    <w:rsid w:val="00AE18EF"/>
    <w:pPr>
      <w:jc w:val="center"/>
    </w:pPr>
    <w:rPr>
      <w:b/>
      <w:i/>
    </w:rPr>
  </w:style>
  <w:style w:type="paragraph" w:styleId="TableCaption" w:customStyle="1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styleId="referenceid" w:customStyle="1">
    <w:name w:val="reference_id"/>
    <w:basedOn w:val="DefaultParagraphFont"/>
    <w:uiPriority w:val="1"/>
    <w:rsid w:val="00457CF1"/>
    <w:rPr>
      <w:vertAlign w:val="superscript"/>
    </w:rPr>
  </w:style>
  <w:style w:type="paragraph" w:styleId="graphictitle" w:customStyle="1">
    <w:name w:val="graphic title"/>
    <w:basedOn w:val="ImageCaption"/>
    <w:next w:val="Normal"/>
    <w:rsid w:val="0035500D"/>
  </w:style>
  <w:style w:type="paragraph" w:styleId="tabletitle" w:customStyle="1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4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195C83FB4A243A2CFB5A5E87C6B97" ma:contentTypeVersion="12" ma:contentTypeDescription="Create a new document." ma:contentTypeScope="" ma:versionID="6c09c0d325388966dafba262b4974b03">
  <xsd:schema xmlns:xsd="http://www.w3.org/2001/XMLSchema" xmlns:xs="http://www.w3.org/2001/XMLSchema" xmlns:p="http://schemas.microsoft.com/office/2006/metadata/properties" xmlns:ns2="44a56295-c29e-4898-8136-a54736c65b82" xmlns:ns3="041fead3-0306-489d-bfe6-0366382dede4" xmlns:ns4="8a61bcad-edcf-4c4b-ad43-bb384b1c3038" targetNamespace="http://schemas.microsoft.com/office/2006/metadata/properties" ma:root="true" ma:fieldsID="e397c7a50eeb9aaa2b351b9d9ab23937" ns2:_="" ns3:_="" ns4:_="">
    <xsd:import namespace="44a56295-c29e-4898-8136-a54736c65b82"/>
    <xsd:import namespace="041fead3-0306-489d-bfe6-0366382dede4"/>
    <xsd:import namespace="8a61bcad-edcf-4c4b-ad43-bb384b1c3038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fead3-0306-489d-bfe6-0366382ded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1bcad-edcf-4c4b-ad43-bb384b1c303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709c409-8306-42e7-bbea-943ff48713da}" ma:internalName="TaxCatchAll" ma:showField="CatchAllData" ma:web="8a61bcad-edcf-4c4b-ad43-bb384b1c3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1ee89e71-04cd-405e-9ca3-99e020c1694d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lcf76f155ced4ddcb4097134ff3c332f xmlns="041fead3-0306-489d-bfe6-0366382dede4">
      <Terms xmlns="http://schemas.microsoft.com/office/infopath/2007/PartnerControls"/>
    </lcf76f155ced4ddcb4097134ff3c332f>
    <TaxCatchAll xmlns="8a61bcad-edcf-4c4b-ad43-bb384b1c3038" xsi:nil="true"/>
    <Descriptions xmlns="44a56295-c29e-4898-8136-a54736c65b82" xsi:nil="true"/>
  </documentManagement>
</p:properties>
</file>

<file path=customXml/itemProps1.xml><?xml version="1.0" encoding="utf-8"?>
<ds:datastoreItem xmlns:ds="http://schemas.openxmlformats.org/officeDocument/2006/customXml" ds:itemID="{1BC2566E-A4E5-43DA-B0C2-A57B607F6440}"/>
</file>

<file path=customXml/itemProps2.xml><?xml version="1.0" encoding="utf-8"?>
<ds:datastoreItem xmlns:ds="http://schemas.openxmlformats.org/officeDocument/2006/customXml" ds:itemID="{59CDB248-F2A3-4976-B589-56851336313F}"/>
</file>

<file path=customXml/itemProps3.xml><?xml version="1.0" encoding="utf-8"?>
<ds:datastoreItem xmlns:ds="http://schemas.openxmlformats.org/officeDocument/2006/customXml" ds:itemID="{42C3DED8-5C4E-46E8-9EAE-9CE238FEC4B0}"/>
</file>

<file path=customXml/itemProps4.xml><?xml version="1.0" encoding="utf-8"?>
<ds:datastoreItem xmlns:ds="http://schemas.openxmlformats.org/officeDocument/2006/customXml" ds:itemID="{1B8F5434-FEA4-4398-A4D2-51F9C75686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Zhang, Fanni</cp:lastModifiedBy>
  <cp:revision>11</cp:revision>
  <dcterms:created xsi:type="dcterms:W3CDTF">2017-02-28T11:18:00Z</dcterms:created>
  <dcterms:modified xsi:type="dcterms:W3CDTF">2026-05-21T15:39:42Z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0x010100C3C195C83FB4A243A2CFB5A5E87C6B97</vt:lpwstr>
  </property>
  <property fmtid="{D5CDD505-2E9C-101B-9397-08002B2CF9AE}" pid="3" name="MediaServiceImageTags">
    <vt:lpwstr/>
  </property>
</Properties>
</file>