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盘前简报-2026-04-28"/>
      <w:r>
        <w:t xml:space="preserve">盘前简报 2026-04-28</w:t>
      </w:r>
      <w:bookmarkEnd w:id="21"/>
    </w:p>
    <w:p>
      <w:pPr>
        <w:pStyle w:val="FirstParagraph"/>
      </w:pPr>
      <w:r>
        <w:t xml:space="preserve">好的，这是基于您提供的盘前数据为您生成的A股策略简报。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a股盘前简报-2026.04.29"/>
      <w:r>
        <w:rPr>
          <w:b/>
        </w:rPr>
        <w:t xml:space="preserve">A股盘前简报 (2026.04.29)</w:t>
      </w:r>
      <w:bookmarkEnd w:id="22"/>
    </w:p>
    <w:p>
      <w:pPr>
        <w:pStyle w:val="FirstParagraph"/>
      </w:pPr>
      <w:r>
        <w:rPr>
          <w:b/>
        </w:rPr>
        <w:t xml:space="preserve">1. 宏观判断：外部压制暂缓，内部流动性平稳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利率/美元</w:t>
      </w:r>
      <w:r>
        <w:t xml:space="preserve">：10年期国债收益率与美元指数数据暂缺。但从现有市场环境推断，近期外部流动性压力阶段性缓解，美元指数高位震荡回落概率增加，有助于减轻A股估值压力。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流动性</w:t>
      </w:r>
      <w:r>
        <w:t xml:space="preserve">：国内货币政策维持</w:t>
      </w:r>
      <w:r>
        <w:t xml:space="preserve">“</w:t>
      </w:r>
      <w:r>
        <w:t xml:space="preserve">精准有力</w:t>
      </w:r>
      <w:r>
        <w:t xml:space="preserve">”</w:t>
      </w:r>
      <w:r>
        <w:t xml:space="preserve">基调，银行间市场流动性保持合理充裕，未出现明显波动。</w:t>
      </w:r>
    </w:p>
    <w:p>
      <w:pPr>
        <w:pStyle w:val="FirstParagraph"/>
      </w:pPr>
      <w:r>
        <w:rPr>
          <w:b/>
        </w:rPr>
        <w:t xml:space="preserve">2. 市场情绪：高位谨慎，风险偏好分化</w:t>
      </w:r>
    </w:p>
    <w:p>
      <w:pPr>
        <w:pStyle w:val="Compact"/>
        <w:numPr>
          <w:numId w:val="1002"/>
          <w:ilvl w:val="0"/>
        </w:numPr>
      </w:pPr>
      <w:r>
        <w:t xml:space="preserve">上证指数收于</w:t>
      </w:r>
      <w:r>
        <w:t xml:space="preserve"> </w:t>
      </w:r>
      <w:r>
        <w:rPr>
          <w:b/>
        </w:rPr>
        <w:t xml:space="preserve">4078.64点</w:t>
      </w:r>
      <w:r>
        <w:t xml:space="preserve">，创业板指收于</w:t>
      </w:r>
      <w:r>
        <w:t xml:space="preserve"> </w:t>
      </w:r>
      <w:r>
        <w:rPr>
          <w:b/>
        </w:rPr>
        <w:t xml:space="preserve">3596.71点</w:t>
      </w:r>
      <w:r>
        <w:t xml:space="preserve">，均处于历史高位区域。市场整体情绪偏向谨慎，成交量若无法持续放大，指数向上突破动能有限。资金更偏向确定性主线，而非盲目追高。</w:t>
      </w:r>
    </w:p>
    <w:p>
      <w:pPr>
        <w:pStyle w:val="FirstParagraph"/>
      </w:pPr>
      <w:r>
        <w:rPr>
          <w:b/>
        </w:rPr>
        <w:t xml:space="preserve">3. 风格判断：价值防御为主，成长内部轮动</w:t>
      </w:r>
    </w:p>
    <w:p>
      <w:pPr>
        <w:pStyle w:val="Compact"/>
        <w:numPr>
          <w:numId w:val="1003"/>
          <w:ilvl w:val="0"/>
        </w:numPr>
      </w:pPr>
      <w:r>
        <w:t xml:space="preserve">中证红利指数收于</w:t>
      </w:r>
      <w:r>
        <w:t xml:space="preserve"> </w:t>
      </w:r>
      <w:r>
        <w:rPr>
          <w:b/>
        </w:rPr>
        <w:t xml:space="preserve">5828.88点</w:t>
      </w:r>
      <w:r>
        <w:t xml:space="preserve">，处于相对高位。在指数位置偏高、外部不确定背景下，资金更倾向于高股息、低波动、现金流稳定的</w:t>
      </w:r>
      <w:r>
        <w:rPr>
          <w:b/>
        </w:rPr>
        <w:t xml:space="preserve">价值/红利风格</w:t>
      </w:r>
      <w:r>
        <w:t xml:space="preserve">作为防御底仓。</w:t>
      </w:r>
    </w:p>
    <w:p>
      <w:pPr>
        <w:pStyle w:val="Compact"/>
        <w:numPr>
          <w:numId w:val="1003"/>
          <w:ilvl w:val="0"/>
        </w:numPr>
      </w:pPr>
      <w:r>
        <w:t xml:space="preserve">成长风格（如AI、半导体）内部出现分化，部分高位题材股回调压力加大，需聚焦业绩兑现能力强的细分领域。</w:t>
      </w:r>
    </w:p>
    <w:p>
      <w:pPr>
        <w:pStyle w:val="FirstParagraph"/>
      </w:pPr>
      <w:r>
        <w:rPr>
          <w:b/>
        </w:rPr>
        <w:t xml:space="preserve">4. 今日重点关注方向（3个）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高股息/红利资产</w:t>
      </w:r>
      <w:r>
        <w:t xml:space="preserve">：在指数高位震荡、外围市场可能波动期间，中证红利指数表现稳健，可作为压舱石配置，关注煤炭、公用事业、银行等板块。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“</w:t>
      </w:r>
      <w:r>
        <w:rPr>
          <w:b/>
        </w:rPr>
        <w:t xml:space="preserve">新质生产力</w:t>
      </w:r>
      <w:r>
        <w:rPr>
          <w:b/>
        </w:rPr>
        <w:t xml:space="preserve">”</w:t>
      </w:r>
      <w:r>
        <w:rPr>
          <w:b/>
        </w:rPr>
        <w:t xml:space="preserve">中业绩确定方向</w:t>
      </w:r>
      <w:r>
        <w:t xml:space="preserve">：回避纯概念炒作，聚焦已发布亮眼一季报、有真实订单和产能落地的科技细分龙头，如智能驾驶、先进封装。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出海/绩优消费</w:t>
      </w:r>
      <w:r>
        <w:t xml:space="preserve">：受益于全球制造业回补及国内经济温和复苏，关注家电、工程机械、以及具有品牌溢价的消费品龙头的回调布局机会。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f1a2407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6d001c0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b1f323c8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2026-04-28T15:17:11Z</dcterms:created>
  <dcterms:modified xsi:type="dcterms:W3CDTF">2026-04-28T15:17:11Z</dcterms:modified>
</cp:coreProperties>
</file>