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宁德时代-投研报告-2026-04-28"/>
      <w:r>
        <w:t xml:space="preserve">宁德时代 投研报告 2026-04-28</w:t>
      </w:r>
      <w:bookmarkEnd w:id="21"/>
    </w:p>
    <w:p>
      <w:pPr>
        <w:pStyle w:val="Heading2"/>
      </w:pPr>
      <w:bookmarkStart w:id="22" w:name="原始数据"/>
      <w:r>
        <w:t xml:space="preserve">原始数据</w:t>
      </w:r>
      <w:bookmarkEnd w:id="22"/>
    </w:p>
    <w:p>
      <w:pPr>
        <w:pStyle w:val="FirstParagraph"/>
      </w:pPr>
      <w:r>
        <w:t xml:space="preserve">宁德时代 最新价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2 个表，共 7 行数据</w:t>
      </w:r>
    </w:p>
    <w:p>
      <w:pPr>
        <w:pStyle w:val="BodyText"/>
      </w:pPr>
      <w:r>
        <w:rPr>
          <w:b/>
        </w:rPr>
        <w:t xml:space="preserve">宁德时代(300750.SZ)等当前的最新价</w:t>
      </w:r>
      <w:r>
        <w:t xml:space="preserve"> </w:t>
      </w:r>
      <w:r>
        <w:t xml:space="preserve">(前20行预览):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宁德时代(300750.SZ)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宁德时代(03750.HK)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2026-04-28 23:04</w:t>
            </w:r>
          </w:p>
        </w:tc>
        <w:tc>
          <w:p>
            <w:pPr>
              <w:pStyle w:val="Compact"/>
              <w:jc w:val="left"/>
            </w:pPr>
            <w:r>
              <w:t xml:space="preserve">427.67</w:t>
            </w:r>
          </w:p>
        </w:tc>
        <w:tc>
          <w:p>
            <w:pPr>
              <w:pStyle w:val="Compact"/>
              <w:jc w:val="left"/>
            </w:pPr>
            <w:r>
              <w:t xml:space="preserve">629.000</w:t>
            </w:r>
          </w:p>
        </w:tc>
      </w:tr>
    </w:tbl>
    <w:p>
      <w:pPr>
        <w:pStyle w:val="BodyText"/>
      </w:pPr>
      <w:r>
        <w:rPr>
          <w:i/>
        </w:rPr>
        <w:t xml:space="preserve">查询ID: 5ee80271-368c-4e4c-af6b-ff913b065b1f</w:t>
      </w:r>
    </w:p>
    <w:p>
      <w:pPr>
        <w:pStyle w:val="BodyText"/>
      </w:pPr>
      <w:r>
        <w:t xml:space="preserve">宁德时代 市盈率 市净率 市值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3 个表，共 14 行数据</w:t>
      </w:r>
    </w:p>
    <w:p>
      <w:pPr>
        <w:pStyle w:val="BodyText"/>
      </w:pPr>
      <w:r>
        <w:rPr>
          <w:b/>
        </w:rPr>
        <w:t xml:space="preserve">宁德时代(300750.SZ)等当前的总市值、市净率等</w:t>
      </w:r>
      <w:r>
        <w:t xml:space="preserve"> </w:t>
      </w:r>
      <w:r>
        <w:t xml:space="preserve">(前20行预览):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总市值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市净率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市盈率(TTM)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宁德时代(300750.SZ)</w:t>
            </w:r>
          </w:p>
        </w:tc>
        <w:tc>
          <w:p>
            <w:pPr>
              <w:pStyle w:val="Compact"/>
              <w:jc w:val="left"/>
            </w:pPr>
            <w:r>
              <w:t xml:space="preserve">1.952万亿</w:t>
            </w:r>
          </w:p>
        </w:tc>
        <w:tc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p>
            <w:pPr>
              <w:pStyle w:val="Compact"/>
              <w:jc w:val="left"/>
            </w:pPr>
            <w:r>
              <w:t xml:space="preserve">24.72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宁德时代(03750.HK)</w:t>
            </w:r>
          </w:p>
        </w:tc>
        <w:tc>
          <w:p>
            <w:pPr>
              <w:pStyle w:val="Compact"/>
              <w:jc w:val="left"/>
            </w:pPr>
            <w:r>
              <w:t xml:space="preserve">2.871万亿</w:t>
            </w:r>
          </w:p>
        </w:tc>
        <w:tc>
          <w:p>
            <w:pPr>
              <w:pStyle w:val="Compact"/>
              <w:jc w:val="left"/>
            </w:pPr>
            <w:r>
              <w:t xml:space="preserve">7.09</w:t>
            </w:r>
          </w:p>
        </w:tc>
        <w:tc>
          <w:p>
            <w:pPr>
              <w:pStyle w:val="Compact"/>
              <w:jc w:val="left"/>
            </w:pPr>
            <w:r>
              <w:t xml:space="preserve">32.51</w:t>
            </w:r>
          </w:p>
        </w:tc>
      </w:tr>
    </w:tbl>
    <w:p>
      <w:pPr>
        <w:pStyle w:val="BodyText"/>
      </w:pPr>
      <w:r>
        <w:rPr>
          <w:i/>
        </w:rPr>
        <w:t xml:space="preserve">查询ID: 06f194c4-8083-4a4c-9b99-842a59ef6aa5</w:t>
      </w:r>
    </w:p>
    <w:p>
      <w:pPr>
        <w:pStyle w:val="BodyText"/>
      </w:pPr>
      <w:r>
        <w:t xml:space="preserve">宁德时代 营业收入 净利润 近三年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(300750) - A股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3 个表，共 10 行数据</w:t>
      </w:r>
    </w:p>
    <w:p>
      <w:pPr>
        <w:pStyle w:val="BodyText"/>
      </w:pPr>
      <w:r>
        <w:rPr>
          <w:b/>
        </w:rPr>
        <w:t xml:space="preserve">宁德时代(300750.SZ)的净利润、归属于母公司股东的净利润等</w:t>
      </w:r>
      <w:r>
        <w:t xml:space="preserve"> </w:t>
      </w:r>
      <w:r>
        <w:t xml:space="preserve">(前20行预览):</w:t>
      </w:r>
    </w:p>
    <w:tbl>
      <w:tblPr>
        <w:tblStyle w:val="Table"/>
        <w:tblW w:type="pct" w:w="4999.999999999999"/>
        <w:tblLook w:firstRow="1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净利润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归属于母公司股东的净利润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营业收入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营业总收入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单季度.营业总收入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营业总收入同比增长率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单季度.营业总收入同比增长率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归属母公司股东的净利润同比增长率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单季度.归属母公司股东的净利润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单季度.归属母公司股东的净利润同比增长率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扣除非经常性损益后归属于母公司股东的净利润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归属母公司股东的净利润同比增长率(扣除非经常性损益)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单季度.扣除非经常损益后的净利润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单季度.扣除非经常损益后的净利润同比增长率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2026一季报</w:t>
            </w:r>
          </w:p>
        </w:tc>
        <w:tc>
          <w:p>
            <w:pPr>
              <w:pStyle w:val="Compact"/>
              <w:jc w:val="left"/>
            </w:pPr>
            <w:r>
              <w:t xml:space="preserve">227.4亿元</w:t>
            </w:r>
          </w:p>
        </w:tc>
        <w:tc>
          <w:p>
            <w:pPr>
              <w:pStyle w:val="Compact"/>
              <w:jc w:val="left"/>
            </w:pPr>
            <w:r>
              <w:t xml:space="preserve">207.4亿元</w:t>
            </w:r>
          </w:p>
        </w:tc>
        <w:tc>
          <w:p>
            <w:pPr>
              <w:pStyle w:val="Compact"/>
              <w:jc w:val="left"/>
            </w:pPr>
            <w:r>
              <w:t xml:space="preserve">1291亿元</w:t>
            </w:r>
          </w:p>
        </w:tc>
        <w:tc>
          <w:p>
            <w:pPr>
              <w:pStyle w:val="Compact"/>
              <w:jc w:val="left"/>
            </w:pPr>
            <w:r>
              <w:t xml:space="preserve">1291亿元</w:t>
            </w:r>
          </w:p>
        </w:tc>
        <w:tc>
          <w:p>
            <w:pPr>
              <w:pStyle w:val="Compact"/>
              <w:jc w:val="left"/>
            </w:pPr>
            <w:r>
              <w:t xml:space="preserve">1291亿元</w:t>
            </w:r>
          </w:p>
        </w:tc>
        <w:tc>
          <w:p>
            <w:pPr>
              <w:pStyle w:val="Compact"/>
              <w:jc w:val="left"/>
            </w:pPr>
            <w:r>
              <w:t xml:space="preserve">52.45%</w:t>
            </w:r>
          </w:p>
        </w:tc>
        <w:tc>
          <w:p>
            <w:pPr>
              <w:pStyle w:val="Compact"/>
              <w:jc w:val="left"/>
            </w:pPr>
            <w:r>
              <w:t xml:space="preserve">52.45%</w:t>
            </w:r>
          </w:p>
        </w:tc>
        <w:tc>
          <w:p>
            <w:pPr>
              <w:pStyle w:val="Compact"/>
              <w:jc w:val="left"/>
            </w:pPr>
            <w:r>
              <w:t xml:space="preserve">48.52%</w:t>
            </w:r>
          </w:p>
        </w:tc>
        <w:tc>
          <w:p>
            <w:pPr>
              <w:pStyle w:val="Compact"/>
              <w:jc w:val="left"/>
            </w:pPr>
            <w:r>
              <w:t xml:space="preserve">207.4亿元</w:t>
            </w:r>
          </w:p>
        </w:tc>
        <w:tc>
          <w:p>
            <w:pPr>
              <w:pStyle w:val="Compact"/>
              <w:jc w:val="left"/>
            </w:pPr>
            <w:r>
              <w:t xml:space="preserve">48.52%</w:t>
            </w:r>
          </w:p>
        </w:tc>
        <w:tc>
          <w:p>
            <w:pPr>
              <w:pStyle w:val="Compact"/>
              <w:jc w:val="left"/>
            </w:pPr>
            <w:r>
              <w:t xml:space="preserve">180.9亿元</w:t>
            </w:r>
          </w:p>
        </w:tc>
        <w:tc>
          <w:p>
            <w:pPr>
              <w:pStyle w:val="Compact"/>
              <w:jc w:val="left"/>
            </w:pPr>
            <w:r>
              <w:t xml:space="preserve">52.95%</w:t>
            </w:r>
          </w:p>
        </w:tc>
        <w:tc>
          <w:p>
            <w:pPr>
              <w:pStyle w:val="Compact"/>
              <w:jc w:val="left"/>
            </w:pPr>
            <w:r>
              <w:t xml:space="preserve">180.9亿元</w:t>
            </w:r>
          </w:p>
        </w:tc>
        <w:tc>
          <w:p>
            <w:pPr>
              <w:pStyle w:val="Compact"/>
              <w:jc w:val="left"/>
            </w:pPr>
            <w:r>
              <w:t xml:space="preserve">52.95%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2025年报</w:t>
            </w:r>
          </w:p>
        </w:tc>
        <w:tc>
          <w:p>
            <w:pPr>
              <w:pStyle w:val="Compact"/>
              <w:jc w:val="left"/>
            </w:pPr>
            <w:r>
              <w:t xml:space="preserve">767.9亿元</w:t>
            </w:r>
          </w:p>
        </w:tc>
        <w:tc>
          <w:p>
            <w:pPr>
              <w:pStyle w:val="Compact"/>
              <w:jc w:val="left"/>
            </w:pPr>
            <w:r>
              <w:t xml:space="preserve">722亿元</w:t>
            </w:r>
          </w:p>
        </w:tc>
        <w:tc>
          <w:p>
            <w:pPr>
              <w:pStyle w:val="Compact"/>
              <w:jc w:val="left"/>
            </w:pPr>
            <w:r>
              <w:t xml:space="preserve">4237亿元</w:t>
            </w:r>
          </w:p>
        </w:tc>
        <w:tc>
          <w:p>
            <w:pPr>
              <w:pStyle w:val="Compact"/>
              <w:jc w:val="left"/>
            </w:pPr>
            <w:r>
              <w:t xml:space="preserve">4237亿元</w:t>
            </w:r>
          </w:p>
        </w:tc>
        <w:tc>
          <w:p>
            <w:pPr>
              <w:pStyle w:val="Compact"/>
              <w:jc w:val="left"/>
            </w:pPr>
            <w:r>
              <w:t xml:space="preserve">1406亿元</w:t>
            </w:r>
          </w:p>
        </w:tc>
        <w:tc>
          <w:p>
            <w:pPr>
              <w:pStyle w:val="Compact"/>
              <w:jc w:val="left"/>
            </w:pPr>
            <w:r>
              <w:t xml:space="preserve">17.04%</w:t>
            </w:r>
          </w:p>
        </w:tc>
        <w:tc>
          <w:p>
            <w:pPr>
              <w:pStyle w:val="Compact"/>
              <w:jc w:val="left"/>
            </w:pPr>
            <w:r>
              <w:t xml:space="preserve">36.58%</w:t>
            </w:r>
          </w:p>
        </w:tc>
        <w:tc>
          <w:p>
            <w:pPr>
              <w:pStyle w:val="Compact"/>
              <w:jc w:val="left"/>
            </w:pPr>
            <w:r>
              <w:t xml:space="preserve">42.28%</w:t>
            </w:r>
          </w:p>
        </w:tc>
        <w:tc>
          <w:p>
            <w:pPr>
              <w:pStyle w:val="Compact"/>
              <w:jc w:val="left"/>
            </w:pPr>
            <w:r>
              <w:t xml:space="preserve">231.7亿元</w:t>
            </w:r>
          </w:p>
        </w:tc>
        <w:tc>
          <w:p>
            <w:pPr>
              <w:pStyle w:val="Compact"/>
              <w:jc w:val="left"/>
            </w:pPr>
            <w:r>
              <w:t xml:space="preserve">57.13%</w:t>
            </w:r>
          </w:p>
        </w:tc>
        <w:tc>
          <w:p>
            <w:pPr>
              <w:pStyle w:val="Compact"/>
              <w:jc w:val="left"/>
            </w:pPr>
            <w:r>
              <w:t xml:space="preserve">645.1亿元</w:t>
            </w:r>
          </w:p>
        </w:tc>
        <w:tc>
          <w:p>
            <w:pPr>
              <w:pStyle w:val="Compact"/>
              <w:jc w:val="left"/>
            </w:pPr>
            <w:r>
              <w:t xml:space="preserve">43.37%</w:t>
            </w:r>
          </w:p>
        </w:tc>
        <w:tc>
          <w:p>
            <w:pPr>
              <w:pStyle w:val="Compact"/>
              <w:jc w:val="left"/>
            </w:pPr>
            <w:r>
              <w:t xml:space="preserve">208.9亿元</w:t>
            </w:r>
          </w:p>
        </w:tc>
        <w:tc>
          <w:p>
            <w:pPr>
              <w:pStyle w:val="Compact"/>
              <w:jc w:val="left"/>
            </w:pPr>
            <w:r>
              <w:t xml:space="preserve">62.98%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2024年报</w:t>
            </w:r>
          </w:p>
        </w:tc>
        <w:tc>
          <w:p>
            <w:pPr>
              <w:pStyle w:val="Compact"/>
              <w:jc w:val="left"/>
            </w:pPr>
            <w:r>
              <w:t xml:space="preserve">540.1亿元</w:t>
            </w:r>
          </w:p>
        </w:tc>
        <w:tc>
          <w:p>
            <w:pPr>
              <w:pStyle w:val="Compact"/>
              <w:jc w:val="left"/>
            </w:pPr>
            <w:r>
              <w:t xml:space="preserve">507.4亿元</w:t>
            </w:r>
          </w:p>
        </w:tc>
        <w:tc>
          <w:p>
            <w:pPr>
              <w:pStyle w:val="Compact"/>
              <w:jc w:val="left"/>
            </w:pPr>
            <w:r>
              <w:t xml:space="preserve">3620亿元</w:t>
            </w:r>
          </w:p>
        </w:tc>
        <w:tc>
          <w:p>
            <w:pPr>
              <w:pStyle w:val="Compact"/>
              <w:jc w:val="left"/>
            </w:pPr>
            <w:r>
              <w:t xml:space="preserve">3620亿元</w:t>
            </w:r>
          </w:p>
        </w:tc>
        <w:tc>
          <w:p>
            <w:pPr>
              <w:pStyle w:val="Compact"/>
              <w:jc w:val="left"/>
            </w:pPr>
            <w:r>
              <w:t xml:space="preserve">1030亿元</w:t>
            </w:r>
          </w:p>
        </w:tc>
        <w:tc>
          <w:p>
            <w:pPr>
              <w:pStyle w:val="Compact"/>
              <w:jc w:val="left"/>
            </w:pPr>
            <w:r>
              <w:t xml:space="preserve">-9.704%</w:t>
            </w:r>
          </w:p>
        </w:tc>
        <w:tc>
          <w:p>
            <w:pPr>
              <w:pStyle w:val="Compact"/>
              <w:jc w:val="left"/>
            </w:pPr>
            <w:r>
              <w:t xml:space="preserve">-3.08%</w:t>
            </w:r>
          </w:p>
        </w:tc>
        <w:tc>
          <w:p>
            <w:pPr>
              <w:pStyle w:val="Compact"/>
              <w:jc w:val="left"/>
            </w:pPr>
            <w:r>
              <w:t xml:space="preserve">15.01%</w:t>
            </w:r>
          </w:p>
        </w:tc>
        <w:tc>
          <w:p>
            <w:pPr>
              <w:pStyle w:val="Compact"/>
              <w:jc w:val="left"/>
            </w:pPr>
            <w:r>
              <w:t xml:space="preserve">147.4亿元</w:t>
            </w:r>
          </w:p>
        </w:tc>
        <w:tc>
          <w:p>
            <w:pPr>
              <w:pStyle w:val="Compact"/>
              <w:jc w:val="left"/>
            </w:pPr>
            <w:r>
              <w:t xml:space="preserve">13.62%</w:t>
            </w:r>
          </w:p>
        </w:tc>
        <w:tc>
          <w:p>
            <w:pPr>
              <w:pStyle w:val="Compact"/>
              <w:jc w:val="left"/>
            </w:pPr>
            <w:r>
              <w:t xml:space="preserve">449.9亿元</w:t>
            </w:r>
          </w:p>
        </w:tc>
        <w:tc>
          <w:p>
            <w:pPr>
              <w:pStyle w:val="Compact"/>
              <w:jc w:val="left"/>
            </w:pPr>
            <w:r>
              <w:t xml:space="preserve">12.23%</w:t>
            </w:r>
          </w:p>
        </w:tc>
        <w:tc>
          <w:p>
            <w:pPr>
              <w:pStyle w:val="Compact"/>
              <w:jc w:val="left"/>
            </w:pPr>
            <w:r>
              <w:t xml:space="preserve">128.2亿元</w:t>
            </w:r>
          </w:p>
        </w:tc>
        <w:tc>
          <w:p>
            <w:pPr>
              <w:pStyle w:val="Compact"/>
              <w:jc w:val="left"/>
            </w:pPr>
            <w:r>
              <w:t xml:space="preserve">-2.244%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2023年报</w:t>
            </w:r>
          </w:p>
        </w:tc>
        <w:tc>
          <w:p>
            <w:pPr>
              <w:pStyle w:val="Compact"/>
              <w:jc w:val="left"/>
            </w:pPr>
            <w:r>
              <w:t xml:space="preserve">467.6亿元</w:t>
            </w:r>
          </w:p>
        </w:tc>
        <w:tc>
          <w:p>
            <w:pPr>
              <w:pStyle w:val="Compact"/>
              <w:jc w:val="left"/>
            </w:pPr>
            <w:r>
              <w:t xml:space="preserve">441.2亿元</w:t>
            </w:r>
          </w:p>
        </w:tc>
        <w:tc>
          <w:p>
            <w:pPr>
              <w:pStyle w:val="Compact"/>
              <w:jc w:val="left"/>
            </w:pPr>
            <w:r>
              <w:t xml:space="preserve">4009亿元</w:t>
            </w:r>
          </w:p>
        </w:tc>
        <w:tc>
          <w:p>
            <w:pPr>
              <w:pStyle w:val="Compact"/>
              <w:jc w:val="left"/>
            </w:pPr>
            <w:r>
              <w:t xml:space="preserve">4009亿元</w:t>
            </w:r>
          </w:p>
        </w:tc>
        <w:tc>
          <w:p>
            <w:pPr>
              <w:pStyle w:val="Compact"/>
              <w:jc w:val="left"/>
            </w:pPr>
            <w:r>
              <w:t xml:space="preserve">1062亿元</w:t>
            </w:r>
          </w:p>
        </w:tc>
        <w:tc>
          <w:p>
            <w:pPr>
              <w:pStyle w:val="Compact"/>
              <w:jc w:val="left"/>
            </w:pPr>
            <w:r>
              <w:t xml:space="preserve">22.01%</w:t>
            </w:r>
          </w:p>
        </w:tc>
        <w:tc>
          <w:p>
            <w:pPr>
              <w:pStyle w:val="Compact"/>
              <w:jc w:val="left"/>
            </w:pPr>
            <w:r>
              <w:t xml:space="preserve">-10.16%</w:t>
            </w:r>
          </w:p>
        </w:tc>
        <w:tc>
          <w:p>
            <w:pPr>
              <w:pStyle w:val="Compact"/>
              <w:jc w:val="left"/>
            </w:pPr>
            <w:r>
              <w:t xml:space="preserve">43.58%</w:t>
            </w:r>
          </w:p>
        </w:tc>
        <w:tc>
          <w:p>
            <w:pPr>
              <w:pStyle w:val="Compact"/>
              <w:jc w:val="left"/>
            </w:pPr>
            <w:r>
              <w:t xml:space="preserve">129.8亿元</w:t>
            </w:r>
          </w:p>
        </w:tc>
        <w:tc>
          <w:p>
            <w:pPr>
              <w:pStyle w:val="Compact"/>
              <w:jc w:val="left"/>
            </w:pPr>
            <w:r>
              <w:t xml:space="preserve">-1.232%</w:t>
            </w:r>
          </w:p>
        </w:tc>
        <w:tc>
          <w:p>
            <w:pPr>
              <w:pStyle w:val="Compact"/>
              <w:jc w:val="left"/>
            </w:pPr>
            <w:r>
              <w:t xml:space="preserve">400.9亿元</w:t>
            </w:r>
          </w:p>
        </w:tc>
        <w:tc>
          <w:p>
            <w:pPr>
              <w:pStyle w:val="Compact"/>
              <w:jc w:val="left"/>
            </w:pPr>
            <w:r>
              <w:t xml:space="preserve">42.1%</w:t>
            </w:r>
          </w:p>
        </w:tc>
        <w:tc>
          <w:p>
            <w:pPr>
              <w:pStyle w:val="Compact"/>
              <w:jc w:val="left"/>
            </w:pPr>
            <w:r>
              <w:t xml:space="preserve">131.1亿元</w:t>
            </w:r>
          </w:p>
        </w:tc>
        <w:tc>
          <w:p>
            <w:pPr>
              <w:pStyle w:val="Compact"/>
              <w:jc w:val="left"/>
            </w:pPr>
            <w:r>
              <w:t xml:space="preserve">7.688%</w:t>
            </w:r>
          </w:p>
        </w:tc>
      </w:tr>
    </w:tbl>
    <w:p>
      <w:pPr>
        <w:pStyle w:val="BodyText"/>
      </w:pPr>
      <w:r>
        <w:rPr>
          <w:i/>
        </w:rPr>
        <w:t xml:space="preserve">查询ID: 737872b8-5bde-4cf9-9e7e-862dbb56f65c</w:t>
      </w:r>
    </w:p>
    <w:p>
      <w:pPr>
        <w:pStyle w:val="BodyText"/>
      </w:pPr>
      <w:r>
        <w:t xml:space="preserve">宁德时代 毛利率 净利率 ROE 近三年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(03750) - H股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3 个表，共 19 行数据</w:t>
      </w:r>
    </w:p>
    <w:p>
      <w:pPr>
        <w:pStyle w:val="BodyText"/>
      </w:pPr>
      <w:r>
        <w:rPr>
          <w:b/>
        </w:rPr>
        <w:t xml:space="preserve">宁德时代(300750.SZ)的净资产收益率ROE、净利润_营业总收入等</w:t>
      </w:r>
      <w:r>
        <w:t xml:space="preserve"> </w:t>
      </w:r>
      <w:r>
        <w:t xml:space="preserve">(前20行预览):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净资产收益率ROE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净利润/营业总收入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销售毛利率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2026一季报</w:t>
            </w:r>
          </w:p>
        </w:tc>
        <w:tc>
          <w:p>
            <w:pPr>
              <w:pStyle w:val="Compact"/>
              <w:jc w:val="left"/>
            </w:pPr>
            <w:r>
              <w:t xml:space="preserve">5.973%</w:t>
            </w:r>
          </w:p>
        </w:tc>
        <w:tc>
          <w:p>
            <w:pPr>
              <w:pStyle w:val="Compact"/>
              <w:jc w:val="left"/>
            </w:pPr>
            <w:r>
              <w:t xml:space="preserve">17.61%</w:t>
            </w:r>
          </w:p>
        </w:tc>
        <w:tc>
          <w:p>
            <w:pPr>
              <w:pStyle w:val="Compact"/>
              <w:jc w:val="left"/>
            </w:pPr>
            <w:r>
              <w:t xml:space="preserve">24.82%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2025年报</w:t>
            </w:r>
          </w:p>
        </w:tc>
        <w:tc>
          <w:p>
            <w:pPr>
              <w:pStyle w:val="Compact"/>
              <w:jc w:val="left"/>
            </w:pPr>
            <w:r>
              <w:t xml:space="preserve">24.72%</w:t>
            </w:r>
          </w:p>
        </w:tc>
        <w:tc>
          <w:p>
            <w:pPr>
              <w:pStyle w:val="Compact"/>
              <w:jc w:val="left"/>
            </w:pPr>
            <w:r>
              <w:t xml:space="preserve">18.12%</w:t>
            </w:r>
          </w:p>
        </w:tc>
        <w:tc>
          <w:p>
            <w:pPr>
              <w:pStyle w:val="Compact"/>
              <w:jc w:val="left"/>
            </w:pPr>
            <w:r>
              <w:t xml:space="preserve">26.27%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2024年报</w:t>
            </w:r>
          </w:p>
        </w:tc>
        <w:tc>
          <w:p>
            <w:pPr>
              <w:pStyle w:val="Compact"/>
              <w:jc w:val="left"/>
            </w:pPr>
            <w:r>
              <w:t xml:space="preserve">22.83%</w:t>
            </w:r>
          </w:p>
        </w:tc>
        <w:tc>
          <w:p>
            <w:pPr>
              <w:pStyle w:val="Compact"/>
              <w:jc w:val="left"/>
            </w:pPr>
            <w:r>
              <w:t xml:space="preserve">14.92%</w:t>
            </w:r>
          </w:p>
        </w:tc>
        <w:tc>
          <w:p>
            <w:pPr>
              <w:pStyle w:val="Compact"/>
              <w:jc w:val="left"/>
            </w:pPr>
            <w:r>
              <w:t xml:space="preserve">24.44%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2023年报</w:t>
            </w:r>
          </w:p>
        </w:tc>
        <w:tc>
          <w:p>
            <w:pPr>
              <w:pStyle w:val="Compact"/>
              <w:jc w:val="left"/>
            </w:pPr>
            <w:r>
              <w:t xml:space="preserve">24.36%</w:t>
            </w:r>
          </w:p>
        </w:tc>
        <w:tc>
          <w:p>
            <w:pPr>
              <w:pStyle w:val="Compact"/>
              <w:jc w:val="left"/>
            </w:pPr>
            <w:r>
              <w:t xml:space="preserve">11.66%</w:t>
            </w:r>
          </w:p>
        </w:tc>
        <w:tc>
          <w:p>
            <w:pPr>
              <w:pStyle w:val="Compact"/>
              <w:jc w:val="left"/>
            </w:pPr>
            <w:r>
              <w:t xml:space="preserve">22.91%</w:t>
            </w:r>
          </w:p>
        </w:tc>
      </w:tr>
    </w:tbl>
    <w:p>
      <w:pPr>
        <w:pStyle w:val="BodyText"/>
      </w:pPr>
      <w:r>
        <w:rPr>
          <w:i/>
        </w:rPr>
        <w:t xml:space="preserve">查询ID: 9466dfd3-179f-4873-aa3b-650af1f1767f</w:t>
      </w:r>
    </w:p>
    <w:p>
      <w:pPr>
        <w:pStyle w:val="BodyText"/>
      </w:pPr>
      <w:r>
        <w:t xml:space="preserve">宁德时代 主营业务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(03750) - H股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6 个表，共 48 行数据</w:t>
      </w:r>
    </w:p>
    <w:p>
      <w:pPr>
        <w:pStyle w:val="BodyText"/>
      </w:pPr>
      <w:r>
        <w:rPr>
          <w:b/>
        </w:rPr>
        <w:t xml:space="preserve">宁德时代(300750.SZ)主营构成分析(2025-12-31)</w:t>
      </w:r>
      <w:r>
        <w:t xml:space="preserve"> </w:t>
      </w:r>
      <w:r>
        <w:t xml:space="preserve">(前20行预览):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地区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主营构成</w:t>
            </w:r>
          </w:p>
        </w:tc>
        <w:tc>
          <w:p>
            <w:pPr>
              <w:pStyle w:val="Compact"/>
              <w:jc w:val="left"/>
            </w:pPr>
            <w:r>
              <w:t xml:space="preserve">电气机械及器材制造业</w:t>
            </w:r>
          </w:p>
        </w:tc>
        <w:tc>
          <w:p>
            <w:pPr>
              <w:pStyle w:val="Compact"/>
              <w:jc w:val="left"/>
            </w:pPr>
            <w:r>
              <w:t xml:space="preserve">动力电池系统</w:t>
            </w:r>
          </w:p>
        </w:tc>
        <w:tc>
          <w:p>
            <w:pPr>
              <w:pStyle w:val="Compact"/>
              <w:jc w:val="left"/>
            </w:pPr>
            <w:r>
              <w:t xml:space="preserve">中国大陆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主营业务收入(元)</w:t>
            </w:r>
          </w:p>
        </w:tc>
        <w:tc>
          <w:p>
            <w:pPr>
              <w:pStyle w:val="Compact"/>
              <w:jc w:val="left"/>
            </w:pPr>
            <w:r>
              <w:t xml:space="preserve">4177亿</w:t>
            </w:r>
          </w:p>
        </w:tc>
        <w:tc>
          <w:p>
            <w:pPr>
              <w:pStyle w:val="Compact"/>
              <w:jc w:val="left"/>
            </w:pPr>
            <w:r>
              <w:t xml:space="preserve">3165亿</w:t>
            </w:r>
          </w:p>
        </w:tc>
        <w:tc>
          <w:p>
            <w:pPr>
              <w:pStyle w:val="Compact"/>
              <w:jc w:val="left"/>
            </w:pPr>
            <w:r>
              <w:t xml:space="preserve">2941亿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主营业务收入占比</w:t>
            </w:r>
          </w:p>
        </w:tc>
        <w:tc>
          <w:p>
            <w:pPr>
              <w:pStyle w:val="Compact"/>
              <w:jc w:val="left"/>
            </w:pPr>
            <w:r>
              <w:t xml:space="preserve">98.59%</w:t>
            </w:r>
          </w:p>
        </w:tc>
        <w:tc>
          <w:p>
            <w:pPr>
              <w:pStyle w:val="Compact"/>
              <w:jc w:val="left"/>
            </w:pPr>
            <w:r>
              <w:t xml:space="preserve">74.70%</w:t>
            </w:r>
          </w:p>
        </w:tc>
        <w:tc>
          <w:p>
            <w:pPr>
              <w:pStyle w:val="Compact"/>
              <w:jc w:val="left"/>
            </w:pPr>
            <w:r>
              <w:t xml:space="preserve">69.40%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主营成本(元)</w:t>
            </w:r>
          </w:p>
        </w:tc>
        <w:tc>
          <w:p>
            <w:pPr>
              <w:pStyle w:val="Compact"/>
              <w:jc w:val="left"/>
            </w:pPr>
            <w:r>
              <w:t xml:space="preserve">3071亿</w:t>
            </w:r>
          </w:p>
        </w:tc>
        <w:tc>
          <w:p>
            <w:pPr>
              <w:pStyle w:val="Compact"/>
              <w:jc w:val="left"/>
            </w:pPr>
            <w:r>
              <w:t xml:space="preserve">2411亿</w:t>
            </w:r>
          </w:p>
        </w:tc>
        <w:tc>
          <w:p>
            <w:pPr>
              <w:pStyle w:val="Compact"/>
              <w:jc w:val="left"/>
            </w:pPr>
            <w:r>
              <w:t xml:space="preserve">2235亿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主营成本占比</w:t>
            </w:r>
          </w:p>
        </w:tc>
        <w:tc>
          <w:p>
            <w:pPr>
              <w:pStyle w:val="Compact"/>
              <w:jc w:val="left"/>
            </w:pPr>
            <w:r>
              <w:t xml:space="preserve">98.30%</w:t>
            </w:r>
          </w:p>
        </w:tc>
        <w:tc>
          <w:p>
            <w:pPr>
              <w:pStyle w:val="Compact"/>
              <w:jc w:val="left"/>
            </w:pPr>
            <w:r>
              <w:t xml:space="preserve">77.17%</w:t>
            </w:r>
          </w:p>
        </w:tc>
        <w:tc>
          <w:p>
            <w:pPr>
              <w:pStyle w:val="Compact"/>
              <w:jc w:val="left"/>
            </w:pPr>
            <w:r>
              <w:t xml:space="preserve">71.55%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主营利润(元)</w:t>
            </w:r>
          </w:p>
        </w:tc>
        <w:tc>
          <w:p>
            <w:pPr>
              <w:pStyle w:val="Compact"/>
              <w:jc w:val="left"/>
            </w:pPr>
            <w:r>
              <w:t xml:space="preserve">1106亿</w:t>
            </w:r>
          </w:p>
        </w:tc>
        <w:tc>
          <w:p>
            <w:pPr>
              <w:pStyle w:val="Compact"/>
              <w:jc w:val="left"/>
            </w:pPr>
            <w:r>
              <w:t xml:space="preserve">754.4亿</w:t>
            </w:r>
          </w:p>
        </w:tc>
        <w:tc>
          <w:p>
            <w:pPr>
              <w:pStyle w:val="Compact"/>
              <w:jc w:val="left"/>
            </w:pPr>
            <w:r>
              <w:t xml:space="preserve">705.6亿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主营利润占比</w:t>
            </w:r>
          </w:p>
        </w:tc>
        <w:tc>
          <w:p>
            <w:pPr>
              <w:pStyle w:val="Compact"/>
              <w:jc w:val="left"/>
            </w:pPr>
            <w:r>
              <w:t xml:space="preserve">99.40%</w:t>
            </w:r>
          </w:p>
        </w:tc>
        <w:tc>
          <w:p>
            <w:pPr>
              <w:pStyle w:val="Compact"/>
              <w:jc w:val="left"/>
            </w:pPr>
            <w:r>
              <w:t xml:space="preserve">67.77%</w:t>
            </w:r>
          </w:p>
        </w:tc>
        <w:tc>
          <w:p>
            <w:pPr>
              <w:pStyle w:val="Compact"/>
              <w:jc w:val="left"/>
            </w:pPr>
            <w:r>
              <w:t xml:space="preserve">63.39%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p>
            <w:pPr>
              <w:pStyle w:val="Compact"/>
              <w:jc w:val="left"/>
            </w:pPr>
            <w:r>
              <w:t xml:space="preserve">26.49%</w:t>
            </w:r>
          </w:p>
        </w:tc>
        <w:tc>
          <w:p>
            <w:pPr>
              <w:pStyle w:val="Compact"/>
              <w:jc w:val="left"/>
            </w:pPr>
            <w:r>
              <w:t xml:space="preserve">23.84%</w:t>
            </w:r>
          </w:p>
        </w:tc>
        <w:tc>
          <w:p>
            <w:pPr>
              <w:pStyle w:val="Compact"/>
              <w:jc w:val="left"/>
            </w:pPr>
            <w:r>
              <w:t xml:space="preserve">24.00%</w:t>
            </w:r>
          </w:p>
        </w:tc>
      </w:tr>
    </w:tbl>
    <w:p>
      <w:pPr>
        <w:pStyle w:val="BodyText"/>
      </w:pPr>
      <w:r>
        <w:rPr>
          <w:i/>
        </w:rPr>
        <w:t xml:space="preserve">查询ID: a28eeffe-8028-49d7-ba8a-57fc494e935b</w:t>
      </w:r>
    </w:p>
    <w:p>
      <w:pPr>
        <w:pStyle w:val="BodyText"/>
      </w:pPr>
      <w:r>
        <w:t xml:space="preserve">宁德时代 所属行业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(03750) - H股</w:t>
      </w:r>
      <w:r>
        <w:t xml:space="preserve"> </w:t>
      </w:r>
      <w:r>
        <w:t xml:space="preserve">- 宁德时代 (300750) - A股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2 个表，共 3 行数据</w:t>
      </w:r>
    </w:p>
    <w:p>
      <w:pPr>
        <w:pStyle w:val="BodyText"/>
      </w:pPr>
      <w:r>
        <w:rPr>
          <w:b/>
        </w:rPr>
        <w:t xml:space="preserve">宁德时代(03750.HK)当前的所属行业板块</w:t>
      </w:r>
      <w:r>
        <w:t xml:space="preserve"> </w:t>
      </w:r>
      <w:r>
        <w:t xml:space="preserve">(前20行预览):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所属行业板块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2026-04-28 23:04</w:t>
            </w:r>
          </w:p>
        </w:tc>
        <w:tc>
          <w:p>
            <w:pPr>
              <w:pStyle w:val="Compact"/>
              <w:jc w:val="left"/>
            </w:pPr>
            <w:r>
              <w:t xml:space="preserve">工业工程</w:t>
            </w:r>
          </w:p>
        </w:tc>
      </w:tr>
    </w:tbl>
    <w:p>
      <w:pPr>
        <w:pStyle w:val="BodyText"/>
      </w:pPr>
      <w:r>
        <w:rPr>
          <w:i/>
        </w:rPr>
        <w:t xml:space="preserve">查询ID: 32fbb15a-8f00-49c5-bff9-66f2287e7569</w:t>
      </w:r>
    </w:p>
    <w:p>
      <w:pPr>
        <w:pStyle w:val="BodyText"/>
      </w:pPr>
      <w:r>
        <w:t xml:space="preserve">宁德时代 前十大股东</w:t>
      </w:r>
      <w:r>
        <w:t xml:space="preserve"> </w:t>
      </w:r>
      <w:r>
        <w:rPr>
          <w:b/>
        </w:rPr>
        <w:t xml:space="preserve">查询证券</w:t>
      </w:r>
      <w:r>
        <w:t xml:space="preserve">:</w:t>
      </w:r>
      <w:r>
        <w:t xml:space="preserve"> </w:t>
      </w:r>
      <w:r>
        <w:t xml:space="preserve">- 宁德时代 (300750) - A股</w:t>
      </w:r>
      <w:r>
        <w:t xml:space="preserve"> </w:t>
      </w:r>
      <w:r>
        <w:t xml:space="preserve">- 宁德时代 (03750) - H股</w:t>
      </w:r>
    </w:p>
    <w:p>
      <w:pPr>
        <w:pStyle w:val="BodyText"/>
      </w:pPr>
      <w:r>
        <w:rPr>
          <w:b/>
        </w:rPr>
        <w:t xml:space="preserve">查询结果</w:t>
      </w:r>
      <w:r>
        <w:t xml:space="preserve">: 2 个表，共 11 行数据</w:t>
      </w:r>
    </w:p>
    <w:p>
      <w:pPr>
        <w:pStyle w:val="BodyText"/>
      </w:pPr>
      <w:r>
        <w:rPr>
          <w:b/>
        </w:rPr>
        <w:t xml:space="preserve">宁德时代(300750.SZ)的前十大股东名称</w:t>
      </w:r>
      <w:r>
        <w:t xml:space="preserve"> </w:t>
      </w:r>
      <w:r>
        <w:t xml:space="preserve">(前20行预览):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前十大股东名称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p>
            <w:pPr>
              <w:pStyle w:val="Compact"/>
              <w:jc w:val="left"/>
            </w:pPr>
            <w:r>
              <w:t xml:space="preserve">厦门瑞庭投资有限公司;香港中央结算有限公司;黄世霖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p>
            <w:pPr>
              <w:pStyle w:val="Compact"/>
              <w:jc w:val="left"/>
            </w:pPr>
            <w:r>
              <w:t xml:space="preserve">厦门瑞庭投资有限公司;香港中央结算有限公司;黄世霖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p>
            <w:pPr>
              <w:pStyle w:val="Compact"/>
              <w:jc w:val="left"/>
            </w:pPr>
            <w:r>
              <w:t xml:space="preserve">厦门瑞庭投资有限公司;香港中央结算有限公司;黄世霖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2026-04-22</w:t>
            </w:r>
          </w:p>
        </w:tc>
        <w:tc>
          <w:p>
            <w:pPr>
              <w:pStyle w:val="Compact"/>
              <w:jc w:val="left"/>
            </w:pPr>
            <w:r>
              <w:t xml:space="preserve">厦门瑞庭投资有限公司;香港中央结算有限公司;黄世霖;宁波联合创新新能源投资管理合伙企业(有限合伙);李平;香港中央结算(代理人)有限公司;本田技研工业(中国)投资有限公司;富泰华工业(深圳)有限公司;中国工商银行股份有限公司-易方达创业板交易型开放式指数证券投资基金;北京华鼎新动力股权投资基金(有限合伙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  <w:tc>
          <w:p>
            <w:pPr>
              <w:pStyle w:val="Compact"/>
              <w:jc w:val="left"/>
            </w:pPr>
            <w:r>
              <w:t xml:space="preserve">厦门瑞庭投资有限公司;香港中央结算有限公司;黄世霖;宁波联合创新新能源投资管理合伙企业(有限合伙);李平;香港中央结算(代理人)有限公司;本田技研工业(中国)投资有限公司;富泰华工业(深圳)有限公司;中国工商银行股份有限公司-易方达创业板交易型开放式指数证券投资基金;北京华鼎新动力股权投资基金(有限合伙)</w:t>
            </w:r>
          </w:p>
        </w:tc>
      </w:tr>
    </w:tbl>
    <w:p>
      <w:pPr>
        <w:pStyle w:val="BodyText"/>
      </w:pPr>
      <w:r>
        <w:rPr>
          <w:i/>
        </w:rPr>
        <w:t xml:space="preserve">查询ID: 859da063-9315-4861-898d-911a8a9124a5</w:t>
      </w:r>
    </w:p>
    <w:p>
      <w:pPr>
        <w:pStyle w:val="Heading2"/>
      </w:pPr>
      <w:bookmarkStart w:id="23" w:name="ai分析"/>
      <w:r>
        <w:t xml:space="preserve">AI分析</w:t>
      </w:r>
      <w:bookmarkEnd w:id="23"/>
    </w:p>
    <w:p>
      <w:pPr>
        <w:pStyle w:val="FirstParagraph"/>
      </w:pPr>
      <w:r>
        <w:t xml:space="preserve">好的，作为一名专业基金经理，以下是对宁德时代的分析报告：</w:t>
      </w:r>
    </w:p>
    <w:p>
      <w:pPr>
        <w:pStyle w:val="Heading3"/>
      </w:pPr>
      <w:bookmarkStart w:id="24" w:name="宁德时代-300750.sz-03750.hk-投资分析"/>
      <w:r>
        <w:t xml:space="preserve">宁德时代 (300750.SZ / 03750.HK) 投资分析</w:t>
      </w:r>
      <w:bookmarkEnd w:id="24"/>
    </w:p>
    <w:p>
      <w:pPr>
        <w:pStyle w:val="Heading4"/>
      </w:pPr>
      <w:bookmarkStart w:id="25" w:name="公司是干什么的"/>
      <w:r>
        <w:t xml:space="preserve">1. 公司是干什么的</w:t>
      </w:r>
      <w:bookmarkEnd w:id="25"/>
    </w:p>
    <w:p>
      <w:pPr>
        <w:pStyle w:val="FirstParagraph"/>
      </w:pPr>
      <w:r>
        <w:t xml:space="preserve">宁德时代是全球领先的动力电池和储能电池系统提供商。核心业务是研发、生产和销售</w:t>
      </w:r>
      <w:r>
        <w:rPr>
          <w:b/>
        </w:rPr>
        <w:t xml:space="preserve">动力电池系统</w:t>
      </w:r>
      <w:r>
        <w:t xml:space="preserve">（用于电动汽车）、储能电池系统以及电池材料、回收等业务。根据最新年报，其</w:t>
      </w:r>
      <w:r>
        <w:rPr>
          <w:b/>
        </w:rPr>
        <w:t xml:space="preserve">74.7%</w:t>
      </w:r>
      <w:r>
        <w:t xml:space="preserve"> </w:t>
      </w:r>
      <w:r>
        <w:t xml:space="preserve">的收入来自动力电池系统。</w:t>
      </w:r>
    </w:p>
    <w:p>
      <w:pPr>
        <w:pStyle w:val="Heading4"/>
      </w:pPr>
      <w:bookmarkStart w:id="26" w:name="行业地位"/>
      <w:r>
        <w:t xml:space="preserve">2. 行业地位</w:t>
      </w:r>
      <w:bookmarkEnd w:id="26"/>
    </w:p>
    <w:p>
      <w:pPr>
        <w:pStyle w:val="FirstParagraph"/>
      </w:pPr>
      <w:r>
        <w:rPr>
          <w:b/>
        </w:rPr>
        <w:t xml:space="preserve">绝对龙头，地位稳固。</w:t>
      </w:r>
      <w:r>
        <w:t xml:space="preserve"> </w:t>
      </w:r>
      <w:r>
        <w:t xml:space="preserve">+ 在全球动力电池市场，市占率长期位居第一，是行业规则的制定者和引领者。</w:t>
      </w:r>
      <w:r>
        <w:t xml:space="preserve"> </w:t>
      </w:r>
      <w:r>
        <w:t xml:space="preserve">+ 凭借技术、规模、成本优势，深度绑定国内外主流车企（如特斯拉、宝马、大众等），护城河极深。</w:t>
      </w:r>
      <w:r>
        <w:t xml:space="preserve"> </w:t>
      </w:r>
      <w:r>
        <w:t xml:space="preserve">+ 在储能领域同样位居全球前列，把握能源转型第二增长曲线。</w:t>
      </w:r>
    </w:p>
    <w:p>
      <w:pPr>
        <w:pStyle w:val="Heading4"/>
      </w:pPr>
      <w:bookmarkStart w:id="27" w:name="财务质量好"/>
      <w:r>
        <w:t xml:space="preserve">3. 财务质量：好</w:t>
      </w:r>
      <w:bookmarkEnd w:id="27"/>
    </w:p>
    <w:p>
      <w:pPr>
        <w:pStyle w:val="FirstParagraph"/>
      </w:pPr>
      <w:r>
        <w:rPr>
          <w:b/>
        </w:rPr>
        <w:t xml:space="preserve">理由：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成长性强劲</w:t>
      </w:r>
      <w:r>
        <w:t xml:space="preserve">：2026年一季度营收同比增长</w:t>
      </w:r>
      <w:r>
        <w:t xml:space="preserve"> </w:t>
      </w:r>
      <w:r>
        <w:rPr>
          <w:b/>
        </w:rPr>
        <w:t xml:space="preserve">52.45%</w:t>
      </w:r>
      <w:r>
        <w:t xml:space="preserve">，归母净利润同比增长</w:t>
      </w:r>
      <w:r>
        <w:t xml:space="preserve"> </w:t>
      </w:r>
      <w:r>
        <w:rPr>
          <w:b/>
        </w:rPr>
        <w:t xml:space="preserve">48.52%</w:t>
      </w:r>
      <w:r>
        <w:t xml:space="preserve">，在高基数下依然保持高速增长。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盈利能力优秀</w:t>
      </w:r>
      <w:r>
        <w:t xml:space="preserve">：毛利率和净利率持续改善，2025年全年净利率达</w:t>
      </w:r>
      <w:r>
        <w:t xml:space="preserve"> </w:t>
      </w:r>
      <w:r>
        <w:rPr>
          <w:b/>
        </w:rPr>
        <w:t xml:space="preserve">18.12%</w:t>
      </w:r>
      <w:r>
        <w:t xml:space="preserve">，ROE（净资产收益率）高达</w:t>
      </w:r>
      <w:r>
        <w:t xml:space="preserve"> </w:t>
      </w:r>
      <w:r>
        <w:rPr>
          <w:b/>
        </w:rPr>
        <w:t xml:space="preserve">24.72%</w:t>
      </w:r>
      <w:r>
        <w:t xml:space="preserve">，远超制造业平均水平。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现金流健康</w:t>
      </w:r>
      <w:r>
        <w:t xml:space="preserve">：在营收和利润高速增长的同时，经营性现金流保持强劲，财务状况稳健。</w:t>
      </w:r>
    </w:p>
    <w:p>
      <w:pPr>
        <w:pStyle w:val="Heading4"/>
      </w:pPr>
      <w:bookmarkStart w:id="28" w:name="估值合理偏贵"/>
      <w:r>
        <w:t xml:space="preserve">4. 估值：合理偏贵</w:t>
      </w:r>
      <w:bookmarkEnd w:id="28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A股</w:t>
      </w:r>
      <w:r>
        <w:t xml:space="preserve">：当前市盈率（TTM）为</w:t>
      </w:r>
      <w:r>
        <w:t xml:space="preserve"> </w:t>
      </w:r>
      <w:r>
        <w:rPr>
          <w:b/>
        </w:rPr>
        <w:t xml:space="preserve">24.72倍</w:t>
      </w:r>
      <w:r>
        <w:t xml:space="preserve">，市净率</w:t>
      </w:r>
      <w:r>
        <w:t xml:space="preserve"> </w:t>
      </w:r>
      <w:r>
        <w:rPr>
          <w:b/>
        </w:rPr>
        <w:t xml:space="preserve">5.97倍</w:t>
      </w:r>
      <w:r>
        <w:t xml:space="preserve">，总市值</w:t>
      </w:r>
      <w:r>
        <w:t xml:space="preserve"> </w:t>
      </w:r>
      <w:r>
        <w:rPr>
          <w:b/>
        </w:rPr>
        <w:t xml:space="preserve">1.95万亿</w:t>
      </w:r>
      <w:r>
        <w:t xml:space="preserve">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H股</w:t>
      </w:r>
      <w:r>
        <w:t xml:space="preserve">：当前市盈率（TTM）为</w:t>
      </w:r>
      <w:r>
        <w:t xml:space="preserve"> </w:t>
      </w:r>
      <w:r>
        <w:rPr>
          <w:b/>
        </w:rPr>
        <w:t xml:space="preserve">32.51倍</w:t>
      </w:r>
      <w:r>
        <w:t xml:space="preserve">，市净率</w:t>
      </w:r>
      <w:r>
        <w:t xml:space="preserve"> </w:t>
      </w:r>
      <w:r>
        <w:rPr>
          <w:b/>
        </w:rPr>
        <w:t xml:space="preserve">7.09倍</w:t>
      </w:r>
      <w:r>
        <w:t xml:space="preserve">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判断</w:t>
      </w:r>
      <w:r>
        <w:t xml:space="preserve">：考虑到其已进入成熟增长期，但全球渗透率仍有空间，且公司在能源转型中的核心资产地位，当前估值基本</w:t>
      </w:r>
      <w:r>
        <w:rPr>
          <w:b/>
        </w:rPr>
        <w:t xml:space="preserve">合理</w:t>
      </w:r>
      <w:r>
        <w:t xml:space="preserve">。但A股估值已不算便宜，需要持续高增长消化估值，H股估值相对A股有折价。</w:t>
      </w:r>
    </w:p>
    <w:p>
      <w:pPr>
        <w:pStyle w:val="Heading4"/>
      </w:pPr>
      <w:bookmarkStart w:id="29" w:name="投资逻辑3点"/>
      <w:r>
        <w:t xml:space="preserve">5. 投资逻辑（3点）</w:t>
      </w:r>
      <w:bookmarkEnd w:id="29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全球能源转型确定性</w:t>
      </w:r>
      <w:r>
        <w:t xml:space="preserve">：电动车和储能的渗透率仍在提升，宁德时代作为核心供应商，将持续受益于万亿级市场的增长。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技术壁垒与成本优势</w:t>
      </w:r>
      <w:r>
        <w:t xml:space="preserve">：公司通过CTP（无模组电池）、麒麟电池、钠离子电池等技术创新，以及极强的供应链整合能力，构筑了竞争对手难以追赶的成本和性能优势。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海外市场扩张</w:t>
      </w:r>
      <w:r>
        <w:t xml:space="preserve">：公司在欧洲、东南亚等地的海外工厂建设与产能释放，将开启新的增长空间，对冲国内市场竞争压力。</w:t>
      </w:r>
    </w:p>
    <w:p>
      <w:pPr>
        <w:pStyle w:val="Heading4"/>
      </w:pPr>
      <w:bookmarkStart w:id="30" w:name="风险3点"/>
      <w:r>
        <w:t xml:space="preserve">6. 风险（3点）</w:t>
      </w:r>
      <w:bookmarkEnd w:id="30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行业竞争加剧</w:t>
      </w:r>
      <w:r>
        <w:t xml:space="preserve">：电池行业产能结构性过剩问题依然存在，二线电池厂（如比亚迪、中创新航）及车企自研电池将压缩宁德时代的市场份额和毛利率。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技术路线变革</w:t>
      </w:r>
      <w:r>
        <w:t xml:space="preserve">：固态电池等颠覆性技术若取得突破性进展并快速商业化，可能对现有液态锂电池的技术路线构成冲击。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地缘政治风险</w:t>
      </w:r>
      <w:r>
        <w:t xml:space="preserve">：作为全球供应链的核心环节，公司面临欧美（特别是美国）对</w:t>
      </w:r>
      <w:r>
        <w:t xml:space="preserve">“</w:t>
      </w:r>
      <w:r>
        <w:t xml:space="preserve">脱钩断链</w:t>
      </w:r>
      <w:r>
        <w:t xml:space="preserve">”</w:t>
      </w:r>
      <w:r>
        <w:t xml:space="preserve">的政治压力，可能影响其海外建厂和市场拓展计划。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900f129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fb6cee2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05fd95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2026-04-28T15:10:25Z</dcterms:created>
  <dcterms:modified xsi:type="dcterms:W3CDTF">2026-04-28T15:10:25Z</dcterms:modified>
</cp:coreProperties>
</file>