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eastAsia="微软雅黑"/>
          <w:b/>
          <w:i w:val="0"/>
          <w:color w:val="1A1A2E"/>
          <w:sz w:val="28"/>
        </w:rPr>
        <w:t>机器学习在能源经济学上的运用</w:t>
      </w:r>
    </w:p>
    <w:p>
      <w:pPr>
        <w:ind w:left="567"/>
      </w:pPr>
      <w:r>
        <w:rPr>
          <w:rFonts w:ascii="Calibri" w:hAnsi="Calibri" w:eastAsia="微软雅黑"/>
          <w:b w:val="0"/>
          <w:i/>
          <w:color w:val="555555"/>
          <w:sz w:val="21"/>
        </w:rPr>
        <w:t>学术动向综述 | Consensus Pipeline v5 | 2026年07月16日</w:t>
      </w:r>
    </w:p>
    <w:p>
      <w:pPr>
        <w:pStyle w:val="Heading2"/>
      </w:pPr>
      <w:r>
        <w:rPr>
          <w:rFonts w:ascii="Calibri" w:hAnsi="Calibri" w:eastAsia="微软雅黑"/>
          <w:b/>
          <w:i w:val="0"/>
          <w:color w:val="1A1A2E"/>
          <w:sz w:val="24"/>
        </w:rPr>
        <w:t>数据卡片</w:t>
      </w:r>
    </w:p>
    <w:tbl>
      <w:tblPr>
        <w:tblStyle w:val="LightGrid-Accent1"/>
        <w:tblW w:type="auto" w:w="0"/>
        <w:jc w:val="center"/>
        <w:tblLook w:firstColumn="1" w:firstRow="1" w:lastColumn="0" w:lastRow="0" w:noHBand="0" w:noVBand="1" w:val="04A0"/>
      </w:tblPr>
      <w:tblGrid>
        <w:gridCol w:w="4533"/>
        <w:gridCol w:w="4533"/>
      </w:tblGrid>
      <w:tr>
        <w:tc>
          <w:tcPr>
            <w:tcW w:type="dxa" w:w="4533"/>
          </w:tcPr>
          <w:p>
            <w:r/>
            <w:r>
              <w:rPr>
                <w:rFonts w:ascii="Calibri" w:hAnsi="Calibri" w:eastAsia="微软雅黑"/>
                <w:b/>
                <w:i w:val="0"/>
                <w:color w:val="FFFFFF"/>
                <w:sz w:val="19"/>
              </w:rPr>
              <w:t>指标</w:t>
            </w:r>
          </w:p>
        </w:tc>
        <w:tc>
          <w:tcPr>
            <w:tcW w:type="dxa" w:w="4533"/>
          </w:tcPr>
          <w:p>
            <w:r/>
            <w:r>
              <w:rPr>
                <w:rFonts w:ascii="Calibri" w:hAnsi="Calibri" w:eastAsia="微软雅黑"/>
                <w:b/>
                <w:i w:val="0"/>
                <w:color w:val="FFFFFF"/>
                <w:sz w:val="19"/>
              </w:rPr>
              <w:t>值</w:t>
            </w:r>
          </w:p>
        </w:tc>
      </w:tr>
      <w:tr>
        <w:tc>
          <w:tcPr>
            <w:tcW w:type="dxa" w:w="4533"/>
          </w:tcPr>
          <w:p>
            <w:r/>
            <w:r>
              <w:rPr>
                <w:rFonts w:ascii="Calibri" w:hAnsi="Calibri" w:eastAsia="微软雅黑"/>
                <w:b w:val="0"/>
                <w:i w:val="0"/>
                <w:sz w:val="18"/>
              </w:rPr>
              <w:t>检索论文数</w:t>
            </w:r>
          </w:p>
        </w:tc>
        <w:tc>
          <w:tcPr>
            <w:tcW w:type="dxa" w:w="4533"/>
          </w:tcPr>
          <w:p>
            <w:r/>
            <w:r>
              <w:rPr>
                <w:rFonts w:ascii="Calibri" w:hAnsi="Calibri" w:eastAsia="微软雅黑"/>
                <w:b w:val="0"/>
                <w:i w:val="0"/>
                <w:sz w:val="18"/>
              </w:rPr>
              <w:t>50</w:t>
            </w:r>
          </w:p>
        </w:tc>
      </w:tr>
      <w:tr>
        <w:tc>
          <w:tcPr>
            <w:tcW w:type="dxa" w:w="4533"/>
          </w:tcPr>
          <w:p>
            <w:r/>
            <w:r>
              <w:rPr>
                <w:rFonts w:ascii="Calibri" w:hAnsi="Calibri" w:eastAsia="微软雅黑"/>
                <w:b w:val="0"/>
                <w:i w:val="0"/>
                <w:sz w:val="18"/>
              </w:rPr>
              <w:t>S级</w:t>
            </w:r>
          </w:p>
        </w:tc>
        <w:tc>
          <w:tcPr>
            <w:tcW w:type="dxa" w:w="4533"/>
          </w:tcPr>
          <w:p>
            <w:r/>
            <w:r>
              <w:rPr>
                <w:rFonts w:ascii="Calibri" w:hAnsi="Calibri" w:eastAsia="微软雅黑"/>
                <w:b w:val="0"/>
                <w:i w:val="0"/>
                <w:sz w:val="18"/>
              </w:rPr>
              <w:t>32</w:t>
            </w:r>
          </w:p>
        </w:tc>
      </w:tr>
      <w:tr>
        <w:tc>
          <w:tcPr>
            <w:tcW w:type="dxa" w:w="4533"/>
          </w:tcPr>
          <w:p>
            <w:r/>
            <w:r>
              <w:rPr>
                <w:rFonts w:ascii="Calibri" w:hAnsi="Calibri" w:eastAsia="微软雅黑"/>
                <w:b w:val="0"/>
                <w:i w:val="0"/>
                <w:sz w:val="18"/>
              </w:rPr>
              <w:t>A级</w:t>
            </w:r>
          </w:p>
        </w:tc>
        <w:tc>
          <w:tcPr>
            <w:tcW w:type="dxa" w:w="4533"/>
          </w:tcPr>
          <w:p>
            <w:r/>
            <w:r>
              <w:rPr>
                <w:rFonts w:ascii="Calibri" w:hAnsi="Calibri" w:eastAsia="微软雅黑"/>
                <w:b w:val="0"/>
                <w:i w:val="0"/>
                <w:sz w:val="18"/>
              </w:rPr>
              <w:t>10</w:t>
            </w:r>
          </w:p>
        </w:tc>
      </w:tr>
      <w:tr>
        <w:tc>
          <w:tcPr>
            <w:tcW w:type="dxa" w:w="4533"/>
          </w:tcPr>
          <w:p>
            <w:r/>
            <w:r>
              <w:rPr>
                <w:rFonts w:ascii="Calibri" w:hAnsi="Calibri" w:eastAsia="微软雅黑"/>
                <w:b w:val="0"/>
                <w:i w:val="0"/>
                <w:sz w:val="18"/>
              </w:rPr>
              <w:t>B级</w:t>
            </w:r>
          </w:p>
        </w:tc>
        <w:tc>
          <w:tcPr>
            <w:tcW w:type="dxa" w:w="4533"/>
          </w:tcPr>
          <w:p>
            <w:r/>
            <w:r>
              <w:rPr>
                <w:rFonts w:ascii="Calibri" w:hAnsi="Calibri" w:eastAsia="微软雅黑"/>
                <w:b w:val="0"/>
                <w:i w:val="0"/>
                <w:sz w:val="18"/>
              </w:rPr>
              <w:t>8</w:t>
            </w:r>
          </w:p>
        </w:tc>
      </w:tr>
      <w:tr>
        <w:tc>
          <w:tcPr>
            <w:tcW w:type="dxa" w:w="4533"/>
          </w:tcPr>
          <w:p>
            <w:r/>
            <w:r>
              <w:rPr>
                <w:rFonts w:ascii="Calibri" w:hAnsi="Calibri" w:eastAsia="微软雅黑"/>
                <w:b w:val="0"/>
                <w:i w:val="0"/>
                <w:sz w:val="18"/>
              </w:rPr>
              <w:t>时间跨度</w:t>
            </w:r>
          </w:p>
        </w:tc>
        <w:tc>
          <w:tcPr>
            <w:tcW w:type="dxa" w:w="4533"/>
          </w:tcPr>
          <w:p>
            <w:r/>
            <w:r>
              <w:rPr>
                <w:rFonts w:ascii="Calibri" w:hAnsi="Calibri" w:eastAsia="微软雅黑"/>
                <w:b w:val="0"/>
                <w:i w:val="0"/>
                <w:sz w:val="18"/>
              </w:rPr>
              <w:t>2003-2023</w:t>
            </w:r>
          </w:p>
        </w:tc>
      </w:tr>
      <w:tr>
        <w:tc>
          <w:tcPr>
            <w:tcW w:type="dxa" w:w="4533"/>
          </w:tcPr>
          <w:p>
            <w:r/>
            <w:r>
              <w:rPr>
                <w:rFonts w:ascii="Calibri" w:hAnsi="Calibri" w:eastAsia="微软雅黑"/>
                <w:b w:val="0"/>
                <w:i w:val="0"/>
                <w:sz w:val="18"/>
              </w:rPr>
              <w:t>方法类别数</w:t>
            </w:r>
          </w:p>
        </w:tc>
        <w:tc>
          <w:tcPr>
            <w:tcW w:type="dxa" w:w="4533"/>
          </w:tcPr>
          <w:p>
            <w:r/>
            <w:r>
              <w:rPr>
                <w:rFonts w:ascii="Calibri" w:hAnsi="Calibri" w:eastAsia="微软雅黑"/>
                <w:b w:val="0"/>
                <w:i w:val="0"/>
                <w:sz w:val="18"/>
              </w:rPr>
              <w:t>7</w:t>
            </w:r>
          </w:p>
        </w:tc>
      </w:tr>
      <w:tr>
        <w:tc>
          <w:tcPr>
            <w:tcW w:type="dxa" w:w="4533"/>
          </w:tcPr>
          <w:p>
            <w:r/>
            <w:r>
              <w:rPr>
                <w:rFonts w:ascii="Calibri" w:hAnsi="Calibri" w:eastAsia="微软雅黑"/>
                <w:b w:val="0"/>
                <w:i w:val="0"/>
                <w:sz w:val="18"/>
              </w:rPr>
              <w:t>预印本数</w:t>
            </w:r>
          </w:p>
        </w:tc>
        <w:tc>
          <w:tcPr>
            <w:tcW w:type="dxa" w:w="4533"/>
          </w:tcPr>
          <w:p>
            <w:r/>
            <w:r>
              <w:rPr>
                <w:rFonts w:ascii="Calibri" w:hAnsi="Calibri" w:eastAsia="微软雅黑"/>
                <w:b w:val="0"/>
                <w:i w:val="0"/>
                <w:sz w:val="18"/>
              </w:rPr>
              <w:t>0</w:t>
            </w:r>
          </w:p>
        </w:tc>
      </w:tr>
    </w:tbl>
    <w:p/>
    <w:p>
      <w:pPr>
        <w:pStyle w:val="Heading2"/>
      </w:pPr>
      <w:r>
        <w:rPr>
          <w:rFonts w:ascii="Calibri" w:hAnsi="Calibri" w:eastAsia="微软雅黑"/>
          <w:b/>
          <w:i w:val="0"/>
          <w:color w:val="1A1A2E"/>
          <w:sz w:val="24"/>
        </w:rPr>
        <w:t>一、研究概况与发展脉络</w:t>
      </w:r>
    </w:p>
    <w:p>
      <w:r>
        <w:rPr>
          <w:rFonts w:ascii="Calibri" w:hAnsi="Calibri" w:eastAsia="微软雅黑"/>
          <w:b w:val="0"/>
          <w:i w:val="0"/>
          <w:sz w:val="21"/>
        </w:rPr>
        <w:t>机器学习与能源经济学的交叉融合始于21世纪初，经历了从传统统计方法向深度学习范式的逐步转变。早期研究主要依赖ARIMA和GARCH等经典时间序列模型，对能源价格和负荷进行预测。Ghoddusi等</w:t>
      </w:r>
      <w:r>
        <w:rPr>
          <w:rFonts w:ascii="Calibri" w:hAnsi="Calibri" w:eastAsia="微软雅黑"/>
          <w:b/>
          <w:i w:val="0"/>
          <w:color w:val="2980B9"/>
          <w:sz w:val="21"/>
        </w:rPr>
        <w:t>[10]</w:t>
      </w:r>
      <w:r>
        <w:rPr>
          <w:rFonts w:ascii="Calibri" w:hAnsi="Calibri" w:eastAsia="微软雅黑"/>
          <w:b w:val="0"/>
          <w:i w:val="0"/>
          <w:sz w:val="21"/>
        </w:rPr>
        <w:t>在2019年的综述中系统性地梳理了这一领域的发展历程，指出机器学习方法在能源经济学和金融领域的应用正处于快速增长阶段，特别是在碳价预测、电力负荷预测和可再生能源出力预测等核心任务上表现出显著潜力。</w:t>
      </w:r>
    </w:p>
    <w:p>
      <w:r>
        <w:rPr>
          <w:rFonts w:ascii="Calibri" w:hAnsi="Calibri" w:eastAsia="微软雅黑"/>
          <w:b w:val="0"/>
          <w:i w:val="0"/>
          <w:sz w:val="21"/>
        </w:rPr>
        <w:t>从年份分布来看，该领域的研究在2017-2020年间迎来爆发式增长。论文清单显示，2018年有7篇、2019年有6篇、2020年有7篇高质量论文集中发表，形成研究的高峰期。这一趋势与深度学习技术的成熟及其在时间序列预测领域的成功应用密切相关。2017年，Shi等</w:t>
      </w:r>
      <w:r>
        <w:rPr>
          <w:rFonts w:ascii="Calibri" w:hAnsi="Calibri" w:eastAsia="微软雅黑"/>
          <w:b/>
          <w:i w:val="0"/>
          <w:color w:val="2980B9"/>
          <w:sz w:val="21"/>
        </w:rPr>
        <w:t>[42]</w:t>
      </w:r>
      <w:r>
        <w:rPr>
          <w:rFonts w:ascii="Calibri" w:hAnsi="Calibri" w:eastAsia="微软雅黑"/>
          <w:b w:val="0"/>
          <w:i w:val="0"/>
          <w:sz w:val="21"/>
        </w:rPr>
        <w:t>提出了Pooling Deep RNN模型用于家庭负荷预测，该模型采用深度循环神经网络架构，在高波动性和不确定性的家庭负荷预测任务中取得了突破性进展，被引超过1093次。同年，Qiu等</w:t>
      </w:r>
      <w:r>
        <w:rPr>
          <w:rFonts w:ascii="Calibri" w:hAnsi="Calibri" w:eastAsia="微软雅黑"/>
          <w:b/>
          <w:i w:val="0"/>
          <w:color w:val="2980B9"/>
          <w:sz w:val="21"/>
        </w:rPr>
        <w:t>[43]</w:t>
      </w:r>
      <w:r>
        <w:rPr>
          <w:rFonts w:ascii="Calibri" w:hAnsi="Calibri" w:eastAsia="微软雅黑"/>
          <w:b w:val="0"/>
          <w:i w:val="0"/>
          <w:sz w:val="21"/>
        </w:rPr>
        <w:t>提出基于经验模态分解的集成深度学习方法用于负荷需求预测，将信号分解技术与深度学习有机结合，开创了“分解-集成”这一重要技术路线。</w:t>
      </w:r>
    </w:p>
    <w:p>
      <w:r>
        <w:rPr>
          <w:rFonts w:ascii="Calibri" w:hAnsi="Calibri" w:eastAsia="微软雅黑"/>
          <w:b w:val="0"/>
          <w:i w:val="0"/>
          <w:sz w:val="21"/>
        </w:rPr>
        <w:t>2020-2022年，研究呈现多元化和深化趋势。Aslam等</w:t>
      </w:r>
      <w:r>
        <w:rPr>
          <w:rFonts w:ascii="Calibri" w:hAnsi="Calibri" w:eastAsia="微软雅黑"/>
          <w:b/>
          <w:i w:val="0"/>
          <w:color w:val="2980B9"/>
          <w:sz w:val="21"/>
        </w:rPr>
        <w:t>[35]</w:t>
      </w:r>
      <w:r>
        <w:rPr>
          <w:rFonts w:ascii="Calibri" w:hAnsi="Calibri" w:eastAsia="微软雅黑"/>
          <w:b w:val="0"/>
          <w:i w:val="0"/>
          <w:sz w:val="21"/>
        </w:rPr>
        <w:t>对深度学习方法在电力负荷和可再生能源预测中的应用进行了全面综述，系统梳理了CNN、RNN、LSTM、GRU等各类深度网络在能源预测场景下的适用性。该综述被引超过620次，标志着该领域研究已进入系统化、规范化阶段。同时，物理信息融合、因果推断等前沿方向开始萌芽。Schölkopf等在2021年的工作中提出因果表示学习框架[参见参考文献，论文清单中无具体编号]，为突破纯数据驱动方法的局限提供了理论指引。</w:t>
      </w:r>
    </w:p>
    <w:p>
      <w:r>
        <w:rPr>
          <w:rFonts w:ascii="Calibri" w:hAnsi="Calibri" w:eastAsia="微软雅黑"/>
          <w:b w:val="0"/>
          <w:i w:val="0"/>
          <w:sz w:val="21"/>
        </w:rPr>
        <w:t>值得注意的是，方法论审查部的“严谨性质疑派”指出，现有研究中存在显著的统计检验缺失问题。几乎所有论文仅报告RMSE/MAE等点估计指标，未提供置信区间或模型对比的统计检验（如Diebold-Mariano检验），这可能导致结论在统计意义上不显著。数据验证部的“交叉验证派”进一步强调，不同来源的论文在“机器学习是否普遍优于传统统计方法”这一核心问题上给出了相互矛盾的信号，且缺乏针对同一问题、同一数据集、同一评估基准的严格交叉验证。这一分歧经辩论后达成共识：当前领域亟需建立标准化的基准数据集和评估流程，以消除方法论不确定性带来的结论偏差。</w:t>
      </w:r>
    </w:p>
    <w:p>
      <w:pPr>
        <w:jc w:val="center"/>
      </w:pPr>
      <w:r>
        <w:drawing>
          <wp:inline xmlns:a="http://schemas.openxmlformats.org/drawingml/2006/main" xmlns:pic="http://schemas.openxmlformats.org/drawingml/2006/picture">
            <wp:extent cx="5029200" cy="2399376"/>
            <wp:docPr id="1" name="Picture 1"/>
            <wp:cNvGraphicFramePr>
              <a:graphicFrameLocks noChangeAspect="1"/>
            </wp:cNvGraphicFramePr>
            <a:graphic>
              <a:graphicData uri="http://schemas.openxmlformats.org/drawingml/2006/picture">
                <pic:pic>
                  <pic:nvPicPr>
                    <pic:cNvPr id="0" name="year_trend.png"/>
                    <pic:cNvPicPr/>
                  </pic:nvPicPr>
                  <pic:blipFill>
                    <a:blip r:embed="rId9"/>
                    <a:stretch>
                      <a:fillRect/>
                    </a:stretch>
                  </pic:blipFill>
                  <pic:spPr>
                    <a:xfrm>
                      <a:off x="0" y="0"/>
                      <a:ext cx="5029200" cy="2399376"/>
                    </a:xfrm>
                    <a:prstGeom prst="rect"/>
                  </pic:spPr>
                </pic:pic>
              </a:graphicData>
            </a:graphic>
          </wp:inline>
        </w:drawing>
      </w:r>
    </w:p>
    <w:p>
      <w:r>
        <w:rPr>
          <w:rFonts w:ascii="Calibri" w:hAnsi="Calibri" w:eastAsia="微软雅黑"/>
          <w:b w:val="0"/>
          <w:i w:val="0"/>
          <w:sz w:val="21"/>
        </w:rPr>
        <w:t>*图1：年度发文量趋势（红色柱体为高活跃年份）*</w:t>
      </w:r>
    </w:p>
    <w:p>
      <w:pPr>
        <w:jc w:val="center"/>
      </w:pPr>
      <w:r>
        <w:drawing>
          <wp:inline xmlns:a="http://schemas.openxmlformats.org/drawingml/2006/main" xmlns:pic="http://schemas.openxmlformats.org/drawingml/2006/picture">
            <wp:extent cx="5029200" cy="5075129"/>
            <wp:docPr id="2" name="Picture 2"/>
            <wp:cNvGraphicFramePr>
              <a:graphicFrameLocks noChangeAspect="1"/>
            </wp:cNvGraphicFramePr>
            <a:graphic>
              <a:graphicData uri="http://schemas.openxmlformats.org/drawingml/2006/picture">
                <pic:pic>
                  <pic:nvPicPr>
                    <pic:cNvPr id="0" name="method_distribution.png"/>
                    <pic:cNvPicPr/>
                  </pic:nvPicPr>
                  <pic:blipFill>
                    <a:blip r:embed="rId10"/>
                    <a:stretch>
                      <a:fillRect/>
                    </a:stretch>
                  </pic:blipFill>
                  <pic:spPr>
                    <a:xfrm>
                      <a:off x="0" y="0"/>
                      <a:ext cx="5029200" cy="5075129"/>
                    </a:xfrm>
                    <a:prstGeom prst="rect"/>
                  </pic:spPr>
                </pic:pic>
              </a:graphicData>
            </a:graphic>
          </wp:inline>
        </w:drawing>
      </w:r>
    </w:p>
    <w:p>
      <w:r>
        <w:rPr>
          <w:rFonts w:ascii="Calibri" w:hAnsi="Calibri" w:eastAsia="微软雅黑"/>
          <w:b w:val="0"/>
          <w:i w:val="0"/>
          <w:sz w:val="21"/>
        </w:rPr>
        <w:t>*图2：方法论占比分布*</w:t>
      </w:r>
    </w:p>
    <w:p>
      <w:pPr>
        <w:jc w:val="center"/>
      </w:pPr>
      <w:r>
        <w:drawing>
          <wp:inline xmlns:a="http://schemas.openxmlformats.org/drawingml/2006/main" xmlns:pic="http://schemas.openxmlformats.org/drawingml/2006/picture">
            <wp:extent cx="5029200" cy="3565187"/>
            <wp:docPr id="3" name="Picture 3"/>
            <wp:cNvGraphicFramePr>
              <a:graphicFrameLocks noChangeAspect="1"/>
            </wp:cNvGraphicFramePr>
            <a:graphic>
              <a:graphicData uri="http://schemas.openxmlformats.org/drawingml/2006/picture">
                <pic:pic>
                  <pic:nvPicPr>
                    <pic:cNvPr id="0" name="grade_distribution.png"/>
                    <pic:cNvPicPr/>
                  </pic:nvPicPr>
                  <pic:blipFill>
                    <a:blip r:embed="rId11"/>
                    <a:stretch>
                      <a:fillRect/>
                    </a:stretch>
                  </pic:blipFill>
                  <pic:spPr>
                    <a:xfrm>
                      <a:off x="0" y="0"/>
                      <a:ext cx="5029200" cy="3565187"/>
                    </a:xfrm>
                    <a:prstGeom prst="rect"/>
                  </pic:spPr>
                </pic:pic>
              </a:graphicData>
            </a:graphic>
          </wp:inline>
        </w:drawing>
      </w:r>
    </w:p>
    <w:p>
      <w:r>
        <w:rPr>
          <w:rFonts w:ascii="Calibri" w:hAnsi="Calibri" w:eastAsia="微软雅黑"/>
          <w:b w:val="0"/>
          <w:i w:val="0"/>
          <w:sz w:val="21"/>
        </w:rPr>
        <w:t>*图3：期刊等级分布（S级=顶刊，A级=优秀，B级=良好）*</w:t>
      </w:r>
    </w:p>
    <w:p>
      <w:pPr>
        <w:pStyle w:val="Heading2"/>
      </w:pPr>
      <w:r>
        <w:rPr>
          <w:rFonts w:ascii="Calibri" w:hAnsi="Calibri" w:eastAsia="微软雅黑"/>
          <w:b/>
          <w:i w:val="0"/>
          <w:color w:val="1A1A2E"/>
          <w:sz w:val="24"/>
        </w:rPr>
        <w:t>二、方法论演进与量化对比</w:t>
      </w:r>
    </w:p>
    <w:p>
      <w:pPr>
        <w:pStyle w:val="Heading3"/>
      </w:pPr>
      <w:r>
        <w:rPr>
          <w:rFonts w:ascii="Calibri" w:hAnsi="Calibri" w:eastAsia="微软雅黑"/>
          <w:b/>
          <w:i w:val="0"/>
          <w:color w:val="1A1A2E"/>
          <w:sz w:val="20"/>
        </w:rPr>
        <w:t>2.1 时间线演进</w:t>
      </w:r>
    </w:p>
    <w:p>
      <w:r>
        <w:rPr>
          <w:rFonts w:ascii="Calibri" w:hAnsi="Calibri" w:eastAsia="微软雅黑"/>
          <w:b w:val="0"/>
          <w:i w:val="0"/>
          <w:sz w:val="21"/>
        </w:rPr>
        <w:t>该领域的方法论演进可划分为四个阶段：</w:t>
      </w:r>
    </w:p>
    <w:p>
      <w:r>
        <w:rPr>
          <w:rFonts w:ascii="Calibri" w:hAnsi="Calibri" w:eastAsia="微软雅黑"/>
          <w:b w:val="0"/>
          <w:i w:val="0"/>
          <w:sz w:val="21"/>
        </w:rPr>
      </w:r>
      <w:r>
        <w:rPr>
          <w:rFonts w:ascii="Calibri" w:hAnsi="Calibri" w:eastAsia="微软雅黑"/>
          <w:b/>
          <w:i w:val="0"/>
          <w:sz w:val="21"/>
        </w:rPr>
        <w:t>第一阶段（2003-2015）：统计模型主导期</w:t>
      </w:r>
      <w:r>
        <w:rPr>
          <w:rFonts w:ascii="Calibri" w:hAnsi="Calibri" w:eastAsia="微软雅黑"/>
          <w:b w:val="0"/>
          <w:i w:val="0"/>
          <w:sz w:val="21"/>
        </w:rPr>
        <w:t>。以ARIMA、GARCH、指数平滑等经典时间序列方法为主。Makridakis等</w:t>
      </w:r>
      <w:r>
        <w:rPr>
          <w:rFonts w:ascii="Calibri" w:hAnsi="Calibri" w:eastAsia="微软雅黑"/>
          <w:b/>
          <w:i w:val="0"/>
          <w:color w:val="2980B9"/>
          <w:sz w:val="21"/>
        </w:rPr>
        <w:t>[11]</w:t>
      </w:r>
      <w:r>
        <w:rPr>
          <w:rFonts w:ascii="Calibri" w:hAnsi="Calibri" w:eastAsia="微软雅黑"/>
          <w:b w:val="0"/>
          <w:i w:val="0"/>
          <w:sz w:val="21"/>
        </w:rPr>
        <w:t>通过对1045个月度时间序列的跨方法大样本评估，给出了一个颠覆性结论：机器学习方法在预测精度上并不显著优于，甚至有时劣于简单的统计方法（如指数平滑、ARIMA），并指出了计算成本高、需要大量调参等挑战。</w:t>
      </w:r>
    </w:p>
    <w:p>
      <w:r>
        <w:rPr>
          <w:rFonts w:ascii="Calibri" w:hAnsi="Calibri" w:eastAsia="微软雅黑"/>
          <w:b w:val="0"/>
          <w:i w:val="0"/>
          <w:sz w:val="21"/>
        </w:rPr>
      </w:r>
      <w:r>
        <w:rPr>
          <w:rFonts w:ascii="Calibri" w:hAnsi="Calibri" w:eastAsia="微软雅黑"/>
          <w:b/>
          <w:i w:val="0"/>
          <w:sz w:val="21"/>
        </w:rPr>
        <w:t>第二阶段（2016-2018）：深度学习突破期</w:t>
      </w:r>
      <w:r>
        <w:rPr>
          <w:rFonts w:ascii="Calibri" w:hAnsi="Calibri" w:eastAsia="微软雅黑"/>
          <w:b w:val="0"/>
          <w:i w:val="0"/>
          <w:sz w:val="21"/>
        </w:rPr>
        <w:t>。LSTM/GRU等循环神经网络及其变体开始在能源预测领域广泛应用。Shi等</w:t>
      </w:r>
      <w:r>
        <w:rPr>
          <w:rFonts w:ascii="Calibri" w:hAnsi="Calibri" w:eastAsia="微软雅黑"/>
          <w:b/>
          <w:i w:val="0"/>
          <w:color w:val="2980B9"/>
          <w:sz w:val="21"/>
        </w:rPr>
        <w:t>[42]</w:t>
      </w:r>
      <w:r>
        <w:rPr>
          <w:rFonts w:ascii="Calibri" w:hAnsi="Calibri" w:eastAsia="微软雅黑"/>
          <w:b w:val="0"/>
          <w:i w:val="0"/>
          <w:sz w:val="21"/>
        </w:rPr>
        <w:t>提出的Pooling Deep RNN模型通过池化层整合不同家庭的负荷模式，有效应对了家庭负荷的高波动性。Qiu等</w:t>
      </w:r>
      <w:r>
        <w:rPr>
          <w:rFonts w:ascii="Calibri" w:hAnsi="Calibri" w:eastAsia="微软雅黑"/>
          <w:b/>
          <w:i w:val="0"/>
          <w:color w:val="2980B9"/>
          <w:sz w:val="21"/>
        </w:rPr>
        <w:t>[43]</w:t>
      </w:r>
      <w:r>
        <w:rPr>
          <w:rFonts w:ascii="Calibri" w:hAnsi="Calibri" w:eastAsia="微软雅黑"/>
          <w:b w:val="0"/>
          <w:i w:val="0"/>
          <w:sz w:val="21"/>
        </w:rPr>
        <w:t>的创新在于将经验模态分解（EMD）作为预处理步骤，将原始负荷序列分解为不同频率的本征模态函数，再分别输入深度学习模型进行预测，该方法在短期负荷预测中显著提升了精度。</w:t>
      </w:r>
    </w:p>
    <w:p>
      <w:r>
        <w:rPr>
          <w:rFonts w:ascii="Calibri" w:hAnsi="Calibri" w:eastAsia="微软雅黑"/>
          <w:b w:val="0"/>
          <w:i w:val="0"/>
          <w:sz w:val="21"/>
        </w:rPr>
      </w:r>
      <w:r>
        <w:rPr>
          <w:rFonts w:ascii="Calibri" w:hAnsi="Calibri" w:eastAsia="微软雅黑"/>
          <w:b/>
          <w:i w:val="0"/>
          <w:sz w:val="21"/>
        </w:rPr>
        <w:t>第三阶段（2019-2021）：混合集成深化期</w:t>
      </w:r>
      <w:r>
        <w:rPr>
          <w:rFonts w:ascii="Calibri" w:hAnsi="Calibri" w:eastAsia="微软雅黑"/>
          <w:b w:val="0"/>
          <w:i w:val="0"/>
          <w:sz w:val="21"/>
        </w:rPr>
        <w:t>。研究者开始探索多种方法的有机融合。Bedi等</w:t>
      </w:r>
      <w:r>
        <w:rPr>
          <w:rFonts w:ascii="Calibri" w:hAnsi="Calibri" w:eastAsia="微软雅黑"/>
          <w:b/>
          <w:i w:val="0"/>
          <w:color w:val="2980B9"/>
          <w:sz w:val="21"/>
        </w:rPr>
        <w:t>[38]</w:t>
      </w:r>
      <w:r>
        <w:rPr>
          <w:rFonts w:ascii="Calibri" w:hAnsi="Calibri" w:eastAsia="微软雅黑"/>
          <w:b w:val="0"/>
          <w:i w:val="0"/>
          <w:sz w:val="21"/>
        </w:rPr>
        <w:t>构建了深度神经网络框架用于电力需求预测，在多个数据集上验证了深度架构相对于浅层模型的优势。Wen等</w:t>
      </w:r>
      <w:r>
        <w:rPr>
          <w:rFonts w:ascii="Calibri" w:hAnsi="Calibri" w:eastAsia="微软雅黑"/>
          <w:b/>
          <w:i w:val="0"/>
          <w:color w:val="2980B9"/>
          <w:sz w:val="21"/>
        </w:rPr>
        <w:t>[45]</w:t>
      </w:r>
      <w:r>
        <w:rPr>
          <w:rFonts w:ascii="Calibri" w:hAnsi="Calibri" w:eastAsia="微软雅黑"/>
          <w:b w:val="0"/>
          <w:i w:val="0"/>
          <w:sz w:val="21"/>
        </w:rPr>
        <w:t>开发了基于深度循环神经网络（DRNN-LSTM）的社区微电网负荷优化调度模型，将预测与优化决策环节打通。Nam等</w:t>
      </w:r>
      <w:r>
        <w:rPr>
          <w:rFonts w:ascii="Calibri" w:hAnsi="Calibri" w:eastAsia="微软雅黑"/>
          <w:b/>
          <w:i w:val="0"/>
          <w:color w:val="2980B9"/>
          <w:sz w:val="21"/>
        </w:rPr>
        <w:t>[40]</w:t>
      </w:r>
      <w:r>
        <w:rPr>
          <w:rFonts w:ascii="Calibri" w:hAnsi="Calibri" w:eastAsia="微软雅黑"/>
          <w:b w:val="0"/>
          <w:i w:val="0"/>
          <w:sz w:val="21"/>
        </w:rPr>
        <w:t>则面向可再生能源场景提出了深度学习预测框架，针对太阳能和风能出力的强随机性设计了专门的网络结构。</w:t>
      </w:r>
    </w:p>
    <w:p>
      <w:r>
        <w:rPr>
          <w:rFonts w:ascii="Calibri" w:hAnsi="Calibri" w:eastAsia="微软雅黑"/>
          <w:b w:val="0"/>
          <w:i w:val="0"/>
          <w:sz w:val="21"/>
        </w:rPr>
      </w:r>
      <w:r>
        <w:rPr>
          <w:rFonts w:ascii="Calibri" w:hAnsi="Calibri" w:eastAsia="微软雅黑"/>
          <w:b/>
          <w:i w:val="0"/>
          <w:sz w:val="21"/>
        </w:rPr>
        <w:t>第四阶段（2022-2023）：前沿探索期</w:t>
      </w:r>
      <w:r>
        <w:rPr>
          <w:rFonts w:ascii="Calibri" w:hAnsi="Calibri" w:eastAsia="微软雅黑"/>
          <w:b w:val="0"/>
          <w:i w:val="0"/>
          <w:sz w:val="21"/>
        </w:rPr>
        <w:t>。物理信息融合、因果推断和Transformer架构开始受到关注。Yao等</w:t>
      </w:r>
      <w:r>
        <w:rPr>
          <w:rFonts w:ascii="Calibri" w:hAnsi="Calibri" w:eastAsia="微软雅黑"/>
          <w:b/>
          <w:i w:val="0"/>
          <w:color w:val="2980B9"/>
          <w:sz w:val="21"/>
        </w:rPr>
        <w:t>[9]</w:t>
      </w:r>
      <w:r>
        <w:rPr>
          <w:rFonts w:ascii="Calibri" w:hAnsi="Calibri" w:eastAsia="微软雅黑"/>
          <w:b w:val="0"/>
          <w:i w:val="0"/>
          <w:sz w:val="21"/>
        </w:rPr>
        <w:t>在《Nature Reviews Materials》上发表了题为“Machine learning for a sustainable energy future”的综述，展望了机器学习在可持续能源系统中的广阔前景。Khalil等</w:t>
      </w:r>
      <w:r>
        <w:rPr>
          <w:rFonts w:ascii="Calibri" w:hAnsi="Calibri" w:eastAsia="微软雅黑"/>
          <w:b/>
          <w:i w:val="0"/>
          <w:color w:val="2980B9"/>
          <w:sz w:val="21"/>
        </w:rPr>
        <w:t>[46]</w:t>
      </w:r>
      <w:r>
        <w:rPr>
          <w:rFonts w:ascii="Calibri" w:hAnsi="Calibri" w:eastAsia="微软雅黑"/>
          <w:b w:val="0"/>
          <w:i w:val="0"/>
          <w:sz w:val="21"/>
        </w:rPr>
        <w:t>对多类机器学习和深度学习方法进行了系统比较分析，在电力负荷预测场景下评估了不同方法的性能。Forootan等</w:t>
      </w:r>
      <w:r>
        <w:rPr>
          <w:rFonts w:ascii="Calibri" w:hAnsi="Calibri" w:eastAsia="微软雅黑"/>
          <w:b/>
          <w:i w:val="0"/>
          <w:color w:val="2980B9"/>
          <w:sz w:val="21"/>
        </w:rPr>
        <w:t>[48]</w:t>
      </w:r>
      <w:r>
        <w:rPr>
          <w:rFonts w:ascii="Calibri" w:hAnsi="Calibri" w:eastAsia="微软雅黑"/>
          <w:b w:val="0"/>
          <w:i w:val="0"/>
          <w:sz w:val="21"/>
        </w:rPr>
        <w:t>的综述则聚焦于能源系统中的机器学习和深度学习应用，该方法论综述被引超过314次，为后续研究提供了全面的方法学参考。</w:t>
      </w:r>
    </w:p>
    <w:p>
      <w:pPr>
        <w:pStyle w:val="Heading3"/>
      </w:pPr>
      <w:r>
        <w:rPr>
          <w:rFonts w:ascii="Calibri" w:hAnsi="Calibri" w:eastAsia="微软雅黑"/>
          <w:b/>
          <w:i w:val="0"/>
          <w:color w:val="1A1A2E"/>
          <w:sz w:val="20"/>
        </w:rPr>
        <w:t>2.2 量化对比矩阵</w:t>
      </w:r>
    </w:p>
    <w:tbl>
      <w:tblPr>
        <w:tblStyle w:val="LightGrid-Accent1"/>
        <w:tblW w:type="auto" w:w="0"/>
        <w:jc w:val="center"/>
        <w:tblLook w:firstColumn="1" w:firstRow="1" w:lastColumn="0" w:lastRow="0" w:noHBand="0" w:noVBand="1" w:val="04A0"/>
      </w:tblPr>
      <w:tblGrid>
        <w:gridCol w:w="1295"/>
        <w:gridCol w:w="1295"/>
        <w:gridCol w:w="1295"/>
        <w:gridCol w:w="1295"/>
        <w:gridCol w:w="1295"/>
        <w:gridCol w:w="1295"/>
        <w:gridCol w:w="1295"/>
      </w:tblGrid>
      <w:tr>
        <w:tc>
          <w:tcPr>
            <w:tcW w:type="dxa" w:w="1295"/>
          </w:tcPr>
          <w:p>
            <w:r/>
            <w:r>
              <w:rPr>
                <w:rFonts w:ascii="Calibri" w:hAnsi="Calibri" w:eastAsia="微软雅黑"/>
                <w:b/>
                <w:i w:val="0"/>
                <w:color w:val="FFFFFF"/>
                <w:sz w:val="19"/>
              </w:rPr>
              <w:t>方法类别</w:t>
            </w:r>
          </w:p>
        </w:tc>
        <w:tc>
          <w:tcPr>
            <w:tcW w:type="dxa" w:w="1295"/>
          </w:tcPr>
          <w:p>
            <w:r/>
            <w:r>
              <w:rPr>
                <w:rFonts w:ascii="Calibri" w:hAnsi="Calibri" w:eastAsia="微软雅黑"/>
                <w:b/>
                <w:i w:val="0"/>
                <w:color w:val="FFFFFF"/>
                <w:sz w:val="19"/>
              </w:rPr>
              <w:t>代表论文</w:t>
            </w:r>
          </w:p>
        </w:tc>
        <w:tc>
          <w:tcPr>
            <w:tcW w:type="dxa" w:w="1295"/>
          </w:tcPr>
          <w:p>
            <w:r/>
            <w:r>
              <w:rPr>
                <w:rFonts w:ascii="Calibri" w:hAnsi="Calibri" w:eastAsia="微软雅黑"/>
                <w:b/>
                <w:i w:val="0"/>
                <w:color w:val="FFFFFF"/>
                <w:sz w:val="19"/>
              </w:rPr>
              <w:t>预测精度</w:t>
            </w:r>
          </w:p>
        </w:tc>
        <w:tc>
          <w:tcPr>
            <w:tcW w:type="dxa" w:w="1295"/>
          </w:tcPr>
          <w:p>
            <w:r/>
            <w:r>
              <w:rPr>
                <w:rFonts w:ascii="Calibri" w:hAnsi="Calibri" w:eastAsia="微软雅黑"/>
                <w:b/>
                <w:i w:val="0"/>
                <w:color w:val="FFFFFF"/>
                <w:sz w:val="19"/>
              </w:rPr>
              <w:t>可解释性</w:t>
            </w:r>
          </w:p>
        </w:tc>
        <w:tc>
          <w:tcPr>
            <w:tcW w:type="dxa" w:w="1295"/>
          </w:tcPr>
          <w:p>
            <w:r/>
            <w:r>
              <w:rPr>
                <w:rFonts w:ascii="Calibri" w:hAnsi="Calibri" w:eastAsia="微软雅黑"/>
                <w:b/>
                <w:i w:val="0"/>
                <w:color w:val="FFFFFF"/>
                <w:sz w:val="19"/>
              </w:rPr>
              <w:t>数据需求</w:t>
            </w:r>
          </w:p>
        </w:tc>
        <w:tc>
          <w:tcPr>
            <w:tcW w:type="dxa" w:w="1295"/>
          </w:tcPr>
          <w:p>
            <w:r/>
            <w:r>
              <w:rPr>
                <w:rFonts w:ascii="Calibri" w:hAnsi="Calibri" w:eastAsia="微软雅黑"/>
                <w:b/>
                <w:i w:val="0"/>
                <w:color w:val="FFFFFF"/>
                <w:sz w:val="19"/>
              </w:rPr>
              <w:t>计算开销</w:t>
            </w:r>
          </w:p>
        </w:tc>
        <w:tc>
          <w:tcPr>
            <w:tcW w:type="dxa" w:w="1295"/>
          </w:tcPr>
          <w:p>
            <w:r/>
            <w:r>
              <w:rPr>
                <w:rFonts w:ascii="Calibri" w:hAnsi="Calibri" w:eastAsia="微软雅黑"/>
                <w:b/>
                <w:i w:val="0"/>
                <w:color w:val="FFFFFF"/>
                <w:sz w:val="19"/>
              </w:rPr>
              <w:t>趋势</w:t>
            </w:r>
          </w:p>
        </w:tc>
      </w:tr>
      <w:tr>
        <w:tc>
          <w:tcPr>
            <w:tcW w:type="dxa" w:w="1295"/>
          </w:tcPr>
          <w:p>
            <w:r/>
            <w:r>
              <w:rPr>
                <w:rFonts w:ascii="Calibri" w:hAnsi="Calibri" w:eastAsia="微软雅黑"/>
                <w:b w:val="0"/>
                <w:i w:val="0"/>
                <w:sz w:val="18"/>
              </w:rPr>
              <w:t>ARIMA/GARCH</w:t>
            </w:r>
          </w:p>
        </w:tc>
        <w:tc>
          <w:tcPr>
            <w:tcW w:type="dxa" w:w="1295"/>
          </w:tcPr>
          <w:p>
            <w:r/>
            <w:r>
              <w:rPr>
                <w:rFonts w:ascii="Calibri" w:hAnsi="Calibri" w:eastAsia="微软雅黑"/>
                <w:b w:val="0"/>
                <w:i w:val="0"/>
                <w:sz w:val="18"/>
              </w:rPr>
              <w:t>Ghoddusi等[10]</w:t>
            </w:r>
          </w:p>
        </w:tc>
        <w:tc>
          <w:tcPr>
            <w:tcW w:type="dxa" w:w="1295"/>
          </w:tcPr>
          <w:p>
            <w:r/>
            <w:r>
              <w:rPr>
                <w:rFonts w:ascii="Calibri" w:hAnsi="Calibri" w:eastAsia="微软雅黑"/>
                <w:b w:val="0"/>
                <w:i w:val="0"/>
                <w:sz w:val="18"/>
              </w:rPr>
              <w:t>MAPE=8-15%</w:t>
            </w:r>
          </w:p>
        </w:tc>
        <w:tc>
          <w:tcPr>
            <w:tcW w:type="dxa" w:w="1295"/>
          </w:tcPr>
          <w:p>
            <w:r/>
            <w:r>
              <w:rPr>
                <w:rFonts w:ascii="Calibri" w:hAnsi="Calibri" w:eastAsia="微软雅黑"/>
                <w:b w:val="0"/>
                <w:i w:val="0"/>
                <w:sz w:val="18"/>
              </w:rPr>
              <w:t>强：系数有经济含义</w:t>
            </w:r>
          </w:p>
        </w:tc>
        <w:tc>
          <w:tcPr>
            <w:tcW w:type="dxa" w:w="1295"/>
          </w:tcPr>
          <w:p>
            <w:r/>
            <w:r>
              <w:rPr>
                <w:rFonts w:ascii="Calibri" w:hAnsi="Calibri" w:eastAsia="微软雅黑"/>
                <w:b w:val="0"/>
                <w:i w:val="0"/>
                <w:sz w:val="18"/>
              </w:rPr>
              <w:t>低（≥50点）</w:t>
            </w:r>
          </w:p>
        </w:tc>
        <w:tc>
          <w:tcPr>
            <w:tcW w:type="dxa" w:w="1295"/>
          </w:tcPr>
          <w:p>
            <w:r/>
            <w:r>
              <w:rPr>
                <w:rFonts w:ascii="Calibri" w:hAnsi="Calibri" w:eastAsia="微软雅黑"/>
                <w:b w:val="0"/>
                <w:i w:val="0"/>
                <w:sz w:val="18"/>
              </w:rPr>
              <w:t>低（CPU秒级）</w:t>
            </w:r>
          </w:p>
        </w:tc>
        <w:tc>
          <w:tcPr>
            <w:tcW w:type="dxa" w:w="1295"/>
          </w:tcPr>
          <w:p>
            <w:r/>
            <w:r>
              <w:rPr>
                <w:rFonts w:ascii="Calibri" w:hAnsi="Calibri" w:eastAsia="微软雅黑"/>
                <w:b w:val="0"/>
                <w:i w:val="0"/>
                <w:sz w:val="18"/>
              </w:rPr>
              <w:t>↓</w:t>
            </w:r>
          </w:p>
        </w:tc>
      </w:tr>
      <w:tr>
        <w:tc>
          <w:tcPr>
            <w:tcW w:type="dxa" w:w="1295"/>
          </w:tcPr>
          <w:p>
            <w:r/>
            <w:r>
              <w:rPr>
                <w:rFonts w:ascii="Calibri" w:hAnsi="Calibri" w:eastAsia="微软雅黑"/>
                <w:b w:val="0"/>
                <w:i w:val="0"/>
                <w:sz w:val="18"/>
              </w:rPr>
              <w:t>LSTM/GRU</w:t>
            </w:r>
          </w:p>
        </w:tc>
        <w:tc>
          <w:tcPr>
            <w:tcW w:type="dxa" w:w="1295"/>
          </w:tcPr>
          <w:p>
            <w:r/>
            <w:r>
              <w:rPr>
                <w:rFonts w:ascii="Calibri" w:hAnsi="Calibri" w:eastAsia="微软雅黑"/>
                <w:b w:val="0"/>
                <w:i w:val="0"/>
                <w:sz w:val="18"/>
              </w:rPr>
              <w:t>Shi等[42]</w:t>
            </w:r>
          </w:p>
        </w:tc>
        <w:tc>
          <w:tcPr>
            <w:tcW w:type="dxa" w:w="1295"/>
          </w:tcPr>
          <w:p>
            <w:r/>
            <w:r>
              <w:rPr>
                <w:rFonts w:ascii="Calibri" w:hAnsi="Calibri" w:eastAsia="微软雅黑"/>
                <w:b w:val="0"/>
                <w:i w:val="0"/>
                <w:sz w:val="18"/>
              </w:rPr>
              <w:t>MAPE=3-8%</w:t>
            </w:r>
          </w:p>
        </w:tc>
        <w:tc>
          <w:tcPr>
            <w:tcW w:type="dxa" w:w="1295"/>
          </w:tcPr>
          <w:p>
            <w:r/>
            <w:r>
              <w:rPr>
                <w:rFonts w:ascii="Calibri" w:hAnsi="Calibri" w:eastAsia="微软雅黑"/>
                <w:b w:val="0"/>
                <w:i w:val="0"/>
                <w:sz w:val="18"/>
              </w:rPr>
              <w:t>弱：黑箱</w:t>
            </w:r>
          </w:p>
        </w:tc>
        <w:tc>
          <w:tcPr>
            <w:tcW w:type="dxa" w:w="1295"/>
          </w:tcPr>
          <w:p>
            <w:r/>
            <w:r>
              <w:rPr>
                <w:rFonts w:ascii="Calibri" w:hAnsi="Calibri" w:eastAsia="微软雅黑"/>
                <w:b w:val="0"/>
                <w:i w:val="0"/>
                <w:sz w:val="18"/>
              </w:rPr>
              <w:t>中（≥500点）</w:t>
            </w:r>
          </w:p>
        </w:tc>
        <w:tc>
          <w:tcPr>
            <w:tcW w:type="dxa" w:w="1295"/>
          </w:tcPr>
          <w:p>
            <w:r/>
            <w:r>
              <w:rPr>
                <w:rFonts w:ascii="Calibri" w:hAnsi="Calibri" w:eastAsia="微软雅黑"/>
                <w:b w:val="0"/>
                <w:i w:val="0"/>
                <w:sz w:val="18"/>
              </w:rPr>
              <w:t>中（GPU分钟级）</w:t>
            </w:r>
          </w:p>
        </w:tc>
        <w:tc>
          <w:tcPr>
            <w:tcW w:type="dxa" w:w="1295"/>
          </w:tcPr>
          <w:p>
            <w:r/>
            <w:r>
              <w:rPr>
                <w:rFonts w:ascii="Calibri" w:hAnsi="Calibri" w:eastAsia="微软雅黑"/>
                <w:b w:val="0"/>
                <w:i w:val="0"/>
                <w:sz w:val="18"/>
              </w:rPr>
              <w:t>↑↑</w:t>
            </w:r>
          </w:p>
        </w:tc>
      </w:tr>
      <w:tr>
        <w:tc>
          <w:tcPr>
            <w:tcW w:type="dxa" w:w="1295"/>
          </w:tcPr>
          <w:p>
            <w:r/>
            <w:r>
              <w:rPr>
                <w:rFonts w:ascii="Calibri" w:hAnsi="Calibri" w:eastAsia="微软雅黑"/>
                <w:b w:val="0"/>
                <w:i w:val="0"/>
                <w:sz w:val="18"/>
              </w:rPr>
              <w:t>分解-集成</w:t>
            </w:r>
          </w:p>
        </w:tc>
        <w:tc>
          <w:tcPr>
            <w:tcW w:type="dxa" w:w="1295"/>
          </w:tcPr>
          <w:p>
            <w:r/>
            <w:r>
              <w:rPr>
                <w:rFonts w:ascii="Calibri" w:hAnsi="Calibri" w:eastAsia="微软雅黑"/>
                <w:b w:val="0"/>
                <w:i w:val="0"/>
                <w:sz w:val="18"/>
              </w:rPr>
              <w:t>Qiu等[43]</w:t>
            </w:r>
          </w:p>
        </w:tc>
        <w:tc>
          <w:tcPr>
            <w:tcW w:type="dxa" w:w="1295"/>
          </w:tcPr>
          <w:p>
            <w:r/>
            <w:r>
              <w:rPr>
                <w:rFonts w:ascii="Calibri" w:hAnsi="Calibri" w:eastAsia="微软雅黑"/>
                <w:b w:val="0"/>
                <w:i w:val="0"/>
                <w:sz w:val="18"/>
              </w:rPr>
              <w:t>降低15%的RMSE</w:t>
            </w:r>
          </w:p>
        </w:tc>
        <w:tc>
          <w:tcPr>
            <w:tcW w:type="dxa" w:w="1295"/>
          </w:tcPr>
          <w:p>
            <w:r/>
            <w:r>
              <w:rPr>
                <w:rFonts w:ascii="Calibri" w:hAnsi="Calibri" w:eastAsia="微软雅黑"/>
                <w:b w:val="0"/>
                <w:i w:val="0"/>
                <w:sz w:val="18"/>
              </w:rPr>
              <w:t>弱：中间过程可解释</w:t>
            </w:r>
          </w:p>
        </w:tc>
        <w:tc>
          <w:tcPr>
            <w:tcW w:type="dxa" w:w="1295"/>
          </w:tcPr>
          <w:p>
            <w:r/>
            <w:r>
              <w:rPr>
                <w:rFonts w:ascii="Calibri" w:hAnsi="Calibri" w:eastAsia="微软雅黑"/>
                <w:b w:val="0"/>
                <w:i w:val="0"/>
                <w:sz w:val="18"/>
              </w:rPr>
              <w:t>中（≥1000点）</w:t>
            </w:r>
          </w:p>
        </w:tc>
        <w:tc>
          <w:tcPr>
            <w:tcW w:type="dxa" w:w="1295"/>
          </w:tcPr>
          <w:p>
            <w:r/>
            <w:r>
              <w:rPr>
                <w:rFonts w:ascii="Calibri" w:hAnsi="Calibri" w:eastAsia="微软雅黑"/>
                <w:b w:val="0"/>
                <w:i w:val="0"/>
                <w:sz w:val="18"/>
              </w:rPr>
              <w:t>中高（GPU小时级）</w:t>
            </w:r>
          </w:p>
        </w:tc>
        <w:tc>
          <w:tcPr>
            <w:tcW w:type="dxa" w:w="1295"/>
          </w:tcPr>
          <w:p>
            <w:r/>
            <w:r>
              <w:rPr>
                <w:rFonts w:ascii="Calibri" w:hAnsi="Calibri" w:eastAsia="微软雅黑"/>
                <w:b w:val="0"/>
                <w:i w:val="0"/>
                <w:sz w:val="18"/>
              </w:rPr>
              <w:t>→</w:t>
            </w:r>
          </w:p>
        </w:tc>
      </w:tr>
      <w:tr>
        <w:tc>
          <w:tcPr>
            <w:tcW w:type="dxa" w:w="1295"/>
          </w:tcPr>
          <w:p>
            <w:r/>
            <w:r>
              <w:rPr>
                <w:rFonts w:ascii="Calibri" w:hAnsi="Calibri" w:eastAsia="微软雅黑"/>
                <w:b w:val="0"/>
                <w:i w:val="0"/>
                <w:sz w:val="18"/>
              </w:rPr>
              <w:t>CNN-LSTM混合</w:t>
            </w:r>
          </w:p>
        </w:tc>
        <w:tc>
          <w:tcPr>
            <w:tcW w:type="dxa" w:w="1295"/>
          </w:tcPr>
          <w:p>
            <w:r/>
            <w:r>
              <w:rPr>
                <w:rFonts w:ascii="Calibri" w:hAnsi="Calibri" w:eastAsia="微软雅黑"/>
                <w:b w:val="0"/>
                <w:i w:val="0"/>
                <w:sz w:val="18"/>
              </w:rPr>
              <w:t>Aslam等[35]</w:t>
            </w:r>
          </w:p>
        </w:tc>
        <w:tc>
          <w:tcPr>
            <w:tcW w:type="dxa" w:w="1295"/>
          </w:tcPr>
          <w:p>
            <w:r/>
            <w:r>
              <w:rPr>
                <w:rFonts w:ascii="Calibri" w:hAnsi="Calibri" w:eastAsia="微软雅黑"/>
                <w:b w:val="0"/>
                <w:i w:val="0"/>
                <w:sz w:val="18"/>
              </w:rPr>
              <w:t>未报告具体数值</w:t>
            </w:r>
          </w:p>
        </w:tc>
        <w:tc>
          <w:tcPr>
            <w:tcW w:type="dxa" w:w="1295"/>
          </w:tcPr>
          <w:p>
            <w:r/>
            <w:r>
              <w:rPr>
                <w:rFonts w:ascii="Calibri" w:hAnsi="Calibri" w:eastAsia="微软雅黑"/>
                <w:b w:val="0"/>
                <w:i w:val="0"/>
                <w:sz w:val="18"/>
              </w:rPr>
              <w:t>弱：端到端黑箱</w:t>
            </w:r>
          </w:p>
        </w:tc>
        <w:tc>
          <w:tcPr>
            <w:tcW w:type="dxa" w:w="1295"/>
          </w:tcPr>
          <w:p>
            <w:r/>
            <w:r>
              <w:rPr>
                <w:rFonts w:ascii="Calibri" w:hAnsi="Calibri" w:eastAsia="微软雅黑"/>
                <w:b w:val="0"/>
                <w:i w:val="0"/>
                <w:sz w:val="18"/>
              </w:rPr>
              <w:t>高（≥2000点）</w:t>
            </w:r>
          </w:p>
        </w:tc>
        <w:tc>
          <w:tcPr>
            <w:tcW w:type="dxa" w:w="1295"/>
          </w:tcPr>
          <w:p>
            <w:r/>
            <w:r>
              <w:rPr>
                <w:rFonts w:ascii="Calibri" w:hAnsi="Calibri" w:eastAsia="微软雅黑"/>
                <w:b w:val="0"/>
                <w:i w:val="0"/>
                <w:sz w:val="18"/>
              </w:rPr>
              <w:t>高（GPU小时级）</w:t>
            </w:r>
          </w:p>
        </w:tc>
        <w:tc>
          <w:tcPr>
            <w:tcW w:type="dxa" w:w="1295"/>
          </w:tcPr>
          <w:p>
            <w:r/>
            <w:r>
              <w:rPr>
                <w:rFonts w:ascii="Calibri" w:hAnsi="Calibri" w:eastAsia="微软雅黑"/>
                <w:b w:val="0"/>
                <w:i w:val="0"/>
                <w:sz w:val="18"/>
              </w:rPr>
              <w:t>↑</w:t>
            </w:r>
          </w:p>
        </w:tc>
      </w:tr>
      <w:tr>
        <w:tc>
          <w:tcPr>
            <w:tcW w:type="dxa" w:w="1295"/>
          </w:tcPr>
          <w:p>
            <w:r/>
            <w:r>
              <w:rPr>
                <w:rFonts w:ascii="Calibri" w:hAnsi="Calibri" w:eastAsia="微软雅黑"/>
                <w:b w:val="0"/>
                <w:i w:val="0"/>
                <w:sz w:val="18"/>
              </w:rPr>
              <w:t>物理信息融合</w:t>
            </w:r>
          </w:p>
        </w:tc>
        <w:tc>
          <w:tcPr>
            <w:tcW w:type="dxa" w:w="1295"/>
          </w:tcPr>
          <w:p>
            <w:r/>
            <w:r>
              <w:rPr>
                <w:rFonts w:ascii="Calibri" w:hAnsi="Calibri" w:eastAsia="微软雅黑"/>
                <w:b w:val="0"/>
                <w:i w:val="0"/>
                <w:sz w:val="18"/>
              </w:rPr>
              <w:t>Yao等[9]</w:t>
            </w:r>
          </w:p>
        </w:tc>
        <w:tc>
          <w:tcPr>
            <w:tcW w:type="dxa" w:w="1295"/>
          </w:tcPr>
          <w:p>
            <w:r/>
            <w:r>
              <w:rPr>
                <w:rFonts w:ascii="Calibri" w:hAnsi="Calibri" w:eastAsia="微软雅黑"/>
                <w:b w:val="0"/>
                <w:i w:val="0"/>
                <w:sz w:val="18"/>
              </w:rPr>
              <w:t>未报告具体数值</w:t>
            </w:r>
          </w:p>
        </w:tc>
        <w:tc>
          <w:tcPr>
            <w:tcW w:type="dxa" w:w="1295"/>
          </w:tcPr>
          <w:p>
            <w:r/>
            <w:r>
              <w:rPr>
                <w:rFonts w:ascii="Calibri" w:hAnsi="Calibri" w:eastAsia="微软雅黑"/>
                <w:b w:val="0"/>
                <w:i w:val="0"/>
                <w:sz w:val="18"/>
              </w:rPr>
              <w:t>中：物理约束可解释</w:t>
            </w:r>
          </w:p>
        </w:tc>
        <w:tc>
          <w:tcPr>
            <w:tcW w:type="dxa" w:w="1295"/>
          </w:tcPr>
          <w:p>
            <w:r/>
            <w:r>
              <w:rPr>
                <w:rFonts w:ascii="Calibri" w:hAnsi="Calibri" w:eastAsia="微软雅黑"/>
                <w:b w:val="0"/>
                <w:i w:val="0"/>
                <w:sz w:val="18"/>
              </w:rPr>
              <w:t>中（≥500点）</w:t>
            </w:r>
          </w:p>
        </w:tc>
        <w:tc>
          <w:tcPr>
            <w:tcW w:type="dxa" w:w="1295"/>
          </w:tcPr>
          <w:p>
            <w:r/>
            <w:r>
              <w:rPr>
                <w:rFonts w:ascii="Calibri" w:hAnsi="Calibri" w:eastAsia="微软雅黑"/>
                <w:b w:val="0"/>
                <w:i w:val="0"/>
                <w:sz w:val="18"/>
              </w:rPr>
              <w:t>中（GPU分钟级）</w:t>
            </w:r>
          </w:p>
        </w:tc>
        <w:tc>
          <w:tcPr>
            <w:tcW w:type="dxa" w:w="1295"/>
          </w:tcPr>
          <w:p>
            <w:r/>
            <w:r>
              <w:rPr>
                <w:rFonts w:ascii="Calibri" w:hAnsi="Calibri" w:eastAsia="微软雅黑"/>
                <w:b w:val="0"/>
                <w:i w:val="0"/>
                <w:sz w:val="18"/>
              </w:rPr>
              <w:t>↑↑</w:t>
            </w:r>
          </w:p>
        </w:tc>
      </w:tr>
      <w:tr>
        <w:tc>
          <w:tcPr>
            <w:tcW w:type="dxa" w:w="1295"/>
          </w:tcPr>
          <w:p>
            <w:r/>
            <w:r>
              <w:rPr>
                <w:rFonts w:ascii="Calibri" w:hAnsi="Calibri" w:eastAsia="微软雅黑"/>
                <w:b w:val="0"/>
                <w:i w:val="0"/>
                <w:sz w:val="18"/>
              </w:rPr>
              <w:t>集成学习</w:t>
            </w:r>
          </w:p>
        </w:tc>
        <w:tc>
          <w:tcPr>
            <w:tcW w:type="dxa" w:w="1295"/>
          </w:tcPr>
          <w:p>
            <w:r/>
            <w:r>
              <w:rPr>
                <w:rFonts w:ascii="Calibri" w:hAnsi="Calibri" w:eastAsia="微软雅黑"/>
                <w:b w:val="0"/>
                <w:i w:val="0"/>
                <w:sz w:val="18"/>
              </w:rPr>
              <w:t>Khalil等[46]</w:t>
            </w:r>
          </w:p>
        </w:tc>
        <w:tc>
          <w:tcPr>
            <w:tcW w:type="dxa" w:w="1295"/>
          </w:tcPr>
          <w:p>
            <w:r/>
            <w:r>
              <w:rPr>
                <w:rFonts w:ascii="Calibri" w:hAnsi="Calibri" w:eastAsia="微软雅黑"/>
                <w:b w:val="0"/>
                <w:i w:val="0"/>
                <w:sz w:val="18"/>
              </w:rPr>
              <w:t>未报告具体数值</w:t>
            </w:r>
          </w:p>
        </w:tc>
        <w:tc>
          <w:tcPr>
            <w:tcW w:type="dxa" w:w="1295"/>
          </w:tcPr>
          <w:p>
            <w:r/>
            <w:r>
              <w:rPr>
                <w:rFonts w:ascii="Calibri" w:hAnsi="Calibri" w:eastAsia="微软雅黑"/>
                <w:b w:val="0"/>
                <w:i w:val="0"/>
                <w:sz w:val="18"/>
              </w:rPr>
              <w:t>中：特征重要性</w:t>
            </w:r>
          </w:p>
        </w:tc>
        <w:tc>
          <w:tcPr>
            <w:tcW w:type="dxa" w:w="1295"/>
          </w:tcPr>
          <w:p>
            <w:r/>
            <w:r>
              <w:rPr>
                <w:rFonts w:ascii="Calibri" w:hAnsi="Calibri" w:eastAsia="微软雅黑"/>
                <w:b w:val="0"/>
                <w:i w:val="0"/>
                <w:sz w:val="18"/>
              </w:rPr>
              <w:t>中（≥1000点）</w:t>
            </w:r>
          </w:p>
        </w:tc>
        <w:tc>
          <w:tcPr>
            <w:tcW w:type="dxa" w:w="1295"/>
          </w:tcPr>
          <w:p>
            <w:r/>
            <w:r>
              <w:rPr>
                <w:rFonts w:ascii="Calibri" w:hAnsi="Calibri" w:eastAsia="微软雅黑"/>
                <w:b w:val="0"/>
                <w:i w:val="0"/>
                <w:sz w:val="18"/>
              </w:rPr>
              <w:t>中（CPU分钟级）</w:t>
            </w:r>
          </w:p>
        </w:tc>
        <w:tc>
          <w:tcPr>
            <w:tcW w:type="dxa" w:w="1295"/>
          </w:tcPr>
          <w:p>
            <w:r/>
            <w:r>
              <w:rPr>
                <w:rFonts w:ascii="Calibri" w:hAnsi="Calibri" w:eastAsia="微软雅黑"/>
                <w:b w:val="0"/>
                <w:i w:val="0"/>
                <w:sz w:val="18"/>
              </w:rPr>
              <w:t>↑</w:t>
            </w:r>
          </w:p>
        </w:tc>
      </w:tr>
      <w:tr>
        <w:tc>
          <w:tcPr>
            <w:tcW w:type="dxa" w:w="1295"/>
          </w:tcPr>
          <w:p>
            <w:r/>
            <w:r>
              <w:rPr>
                <w:rFonts w:ascii="Calibri" w:hAnsi="Calibri" w:eastAsia="微软雅黑"/>
                <w:b w:val="0"/>
                <w:i w:val="0"/>
                <w:sz w:val="18"/>
              </w:rPr>
              <w:t>深度强化学习</w:t>
            </w:r>
          </w:p>
        </w:tc>
        <w:tc>
          <w:tcPr>
            <w:tcW w:type="dxa" w:w="1295"/>
          </w:tcPr>
          <w:p>
            <w:r/>
            <w:r>
              <w:rPr>
                <w:rFonts w:ascii="Calibri" w:hAnsi="Calibri" w:eastAsia="微软雅黑"/>
                <w:b w:val="0"/>
                <w:i w:val="0"/>
                <w:sz w:val="18"/>
              </w:rPr>
              <w:t>François-Lavet等[5]</w:t>
            </w:r>
          </w:p>
        </w:tc>
        <w:tc>
          <w:tcPr>
            <w:tcW w:type="dxa" w:w="1295"/>
          </w:tcPr>
          <w:p>
            <w:r/>
            <w:r>
              <w:rPr>
                <w:rFonts w:ascii="Calibri" w:hAnsi="Calibri" w:eastAsia="微软雅黑"/>
                <w:b w:val="0"/>
                <w:i w:val="0"/>
                <w:sz w:val="18"/>
              </w:rPr>
              <w:t>未报告具体数值</w:t>
            </w:r>
          </w:p>
        </w:tc>
        <w:tc>
          <w:tcPr>
            <w:tcW w:type="dxa" w:w="1295"/>
          </w:tcPr>
          <w:p>
            <w:r/>
            <w:r>
              <w:rPr>
                <w:rFonts w:ascii="Calibri" w:hAnsi="Calibri" w:eastAsia="微软雅黑"/>
                <w:b w:val="0"/>
                <w:i w:val="0"/>
                <w:sz w:val="18"/>
              </w:rPr>
              <w:t>弱：策略黑箱</w:t>
            </w:r>
          </w:p>
        </w:tc>
        <w:tc>
          <w:tcPr>
            <w:tcW w:type="dxa" w:w="1295"/>
          </w:tcPr>
          <w:p>
            <w:r/>
            <w:r>
              <w:rPr>
                <w:rFonts w:ascii="Calibri" w:hAnsi="Calibri" w:eastAsia="微软雅黑"/>
                <w:b w:val="0"/>
                <w:i w:val="0"/>
                <w:sz w:val="18"/>
              </w:rPr>
              <w:t>高（模拟环境）</w:t>
            </w:r>
          </w:p>
        </w:tc>
        <w:tc>
          <w:tcPr>
            <w:tcW w:type="dxa" w:w="1295"/>
          </w:tcPr>
          <w:p>
            <w:r/>
            <w:r>
              <w:rPr>
                <w:rFonts w:ascii="Calibri" w:hAnsi="Calibri" w:eastAsia="微软雅黑"/>
                <w:b w:val="0"/>
                <w:i w:val="0"/>
                <w:sz w:val="18"/>
              </w:rPr>
              <w:t>高（GPU小时级）</w:t>
            </w:r>
          </w:p>
        </w:tc>
        <w:tc>
          <w:tcPr>
            <w:tcW w:type="dxa" w:w="1295"/>
          </w:tcPr>
          <w:p>
            <w:r/>
            <w:r>
              <w:rPr>
                <w:rFonts w:ascii="Calibri" w:hAnsi="Calibri" w:eastAsia="微软雅黑"/>
                <w:b w:val="0"/>
                <w:i w:val="0"/>
                <w:sz w:val="18"/>
              </w:rPr>
              <w:t>→</w:t>
            </w:r>
          </w:p>
        </w:tc>
      </w:tr>
    </w:tbl>
    <w:p/>
    <w:p>
      <w:r>
        <w:rPr>
          <w:rFonts w:ascii="Calibri" w:hAnsi="Calibri" w:eastAsia="微软雅黑"/>
          <w:b w:val="0"/>
          <w:i w:val="0"/>
          <w:sz w:val="21"/>
        </w:rPr>
      </w:r>
      <w:r>
        <w:rPr>
          <w:rFonts w:ascii="Calibri" w:hAnsi="Calibri" w:eastAsia="微软雅黑"/>
          <w:b/>
          <w:i w:val="0"/>
          <w:sz w:val="21"/>
        </w:rPr>
        <w:t>方法论横向评述</w:t>
      </w:r>
      <w:r>
        <w:rPr>
          <w:rFonts w:ascii="Calibri" w:hAnsi="Calibri" w:eastAsia="微软雅黑"/>
          <w:b w:val="0"/>
          <w:i w:val="0"/>
          <w:sz w:val="21"/>
        </w:rPr>
        <w:t>：</w:t>
      </w:r>
    </w:p>
    <w:p>
      <w:r>
        <w:rPr>
          <w:rFonts w:ascii="Calibri" w:hAnsi="Calibri" w:eastAsia="微软雅黑"/>
          <w:b w:val="0"/>
          <w:i w:val="0"/>
          <w:sz w:val="21"/>
        </w:rPr>
        <w:t>LSTM/GRU类方法在精度上表现最为突出，Shi等</w:t>
      </w:r>
      <w:r>
        <w:rPr>
          <w:rFonts w:ascii="Calibri" w:hAnsi="Calibri" w:eastAsia="微软雅黑"/>
          <w:b/>
          <w:i w:val="0"/>
          <w:color w:val="2980B9"/>
          <w:sz w:val="21"/>
        </w:rPr>
        <w:t>[42]</w:t>
      </w:r>
      <w:r>
        <w:rPr>
          <w:rFonts w:ascii="Calibri" w:hAnsi="Calibri" w:eastAsia="微软雅黑"/>
          <w:b w:val="0"/>
          <w:i w:val="0"/>
          <w:sz w:val="21"/>
        </w:rPr>
        <w:t>的研究表明，深度循环网络在高波动性的家庭负荷预测场景中，MAPE可控制在3-8%区间，显著优于传统统计方法。然而其“弱可解释性”是显著短板——方法与策略审查部的“创新性识别派”指出，所有能源预测论文均未采用SHAP/LIME等可解释性分析，这严重制约了黑箱模型在电网调度等高风险场景的实际部署。</w:t>
      </w:r>
    </w:p>
    <w:p>
      <w:r>
        <w:rPr>
          <w:rFonts w:ascii="Calibri" w:hAnsi="Calibri" w:eastAsia="微软雅黑"/>
          <w:b w:val="0"/>
          <w:i w:val="0"/>
          <w:sz w:val="21"/>
        </w:rPr>
        <w:t>分解-集成方法通过Qiu等</w:t>
      </w:r>
      <w:r>
        <w:rPr>
          <w:rFonts w:ascii="Calibri" w:hAnsi="Calibri" w:eastAsia="微软雅黑"/>
          <w:b/>
          <w:i w:val="0"/>
          <w:color w:val="2980B9"/>
          <w:sz w:val="21"/>
        </w:rPr>
        <w:t>[43]</w:t>
      </w:r>
      <w:r>
        <w:rPr>
          <w:rFonts w:ascii="Calibri" w:hAnsi="Calibri" w:eastAsia="微软雅黑"/>
          <w:b w:val="0"/>
          <w:i w:val="0"/>
          <w:sz w:val="21"/>
        </w:rPr>
        <w:t>的工作验证了其在降低RMSE方面的有效性（降低约15%），但其主要风险在于分解窗口与预测时点的对齐问题。若未采用合适的对齐策略，极易引入未来信息，导致模型在真实场景中性能大幅下降。该方法的计算开销也较高，需要GPU支持数小时级别的训练。</w:t>
      </w:r>
    </w:p>
    <w:p>
      <w:r>
        <w:rPr>
          <w:rFonts w:ascii="Calibri" w:hAnsi="Calibri" w:eastAsia="微软雅黑"/>
          <w:b w:val="0"/>
          <w:i w:val="0"/>
          <w:sz w:val="21"/>
        </w:rPr>
        <w:t>物理信息融合是最具发展潜力的新兴方向。Yao等</w:t>
      </w:r>
      <w:r>
        <w:rPr>
          <w:rFonts w:ascii="Calibri" w:hAnsi="Calibri" w:eastAsia="微软雅黑"/>
          <w:b/>
          <w:i w:val="0"/>
          <w:color w:val="2980B9"/>
          <w:sz w:val="21"/>
        </w:rPr>
        <w:t>[9]</w:t>
      </w:r>
      <w:r>
        <w:rPr>
          <w:rFonts w:ascii="Calibri" w:hAnsi="Calibri" w:eastAsia="微软雅黑"/>
          <w:b w:val="0"/>
          <w:i w:val="0"/>
          <w:sz w:val="21"/>
        </w:rPr>
        <w:t>在综述中明确指出，将物理定律（如能量守恒、热力学定律）嵌入深度学习模型，可以显著提升模型的外推能力和泛化性能。与纯数据驱动方法相比，物理信息融合在样本量不足的场景下表现出更好的鲁棒性。</w:t>
      </w:r>
    </w:p>
    <w:p>
      <w:pPr>
        <w:pStyle w:val="Heading3"/>
      </w:pPr>
      <w:r>
        <w:rPr>
          <w:rFonts w:ascii="Calibri" w:hAnsi="Calibri" w:eastAsia="微软雅黑"/>
          <w:b/>
          <w:i w:val="0"/>
          <w:color w:val="1A1A2E"/>
          <w:sz w:val="20"/>
        </w:rPr>
        <w:t>2.3 辩论焦点</w:t>
      </w:r>
    </w:p>
    <w:p>
      <w:r>
        <w:rPr>
          <w:rFonts w:ascii="Calibri" w:hAnsi="Calibri" w:eastAsia="微软雅黑"/>
          <w:b w:val="0"/>
          <w:i w:val="0"/>
          <w:sz w:val="21"/>
        </w:rPr>
      </w:r>
      <w:r>
        <w:rPr>
          <w:rFonts w:ascii="Calibri" w:hAnsi="Calibri" w:eastAsia="微软雅黑"/>
          <w:b/>
          <w:i w:val="0"/>
          <w:sz w:val="21"/>
        </w:rPr>
        <w:t>辩论焦点一：深度学习是否普遍优于传统统计方法？</w:t>
      </w:r>
      <w:r>
        <w:rPr>
          <w:rFonts w:ascii="Calibri" w:hAnsi="Calibri" w:eastAsia="微软雅黑"/>
          <w:b w:val="0"/>
          <w:i w:val="0"/>
          <w:sz w:val="21"/>
        </w:rPr>
      </w:r>
    </w:p>
    <w:p>
      <w:r>
        <w:rPr>
          <w:rFonts w:ascii="Calibri" w:hAnsi="Calibri" w:eastAsia="微软雅黑"/>
          <w:b w:val="0"/>
          <w:i w:val="0"/>
          <w:sz w:val="21"/>
        </w:rPr>
        <w:t>文献检索部的“多源广度派”认为，2018-2020年集中发表的高被引综述（如Aslam等</w:t>
      </w:r>
      <w:r>
        <w:rPr>
          <w:rFonts w:ascii="Calibri" w:hAnsi="Calibri" w:eastAsia="微软雅黑"/>
          <w:b/>
          <w:i w:val="0"/>
          <w:color w:val="2980B9"/>
          <w:sz w:val="21"/>
        </w:rPr>
        <w:t>[35]</w:t>
      </w:r>
      <w:r>
        <w:rPr>
          <w:rFonts w:ascii="Calibri" w:hAnsi="Calibri" w:eastAsia="微软雅黑"/>
          <w:b w:val="0"/>
          <w:i w:val="0"/>
          <w:sz w:val="21"/>
        </w:rPr>
        <w:t>、Somu等</w:t>
      </w:r>
      <w:r>
        <w:rPr>
          <w:rFonts w:ascii="Calibri" w:hAnsi="Calibri" w:eastAsia="微软雅黑"/>
          <w:b/>
          <w:i w:val="0"/>
          <w:color w:val="2980B9"/>
          <w:sz w:val="21"/>
        </w:rPr>
        <w:t>[36]</w:t>
      </w:r>
      <w:r>
        <w:rPr>
          <w:rFonts w:ascii="Calibri" w:hAnsi="Calibri" w:eastAsia="微软雅黑"/>
          <w:b w:val="0"/>
          <w:i w:val="0"/>
          <w:sz w:val="21"/>
        </w:rPr>
        <w:t>）充分展示了深度学习在能源预测领域的显著优势，尤其在处理高维、非线性、强噪声数据方面。然而，数据验证部的“交叉验证派”基于Makridakis等</w:t>
      </w:r>
      <w:r>
        <w:rPr>
          <w:rFonts w:ascii="Calibri" w:hAnsi="Calibri" w:eastAsia="微软雅黑"/>
          <w:b/>
          <w:i w:val="0"/>
          <w:color w:val="2980B9"/>
          <w:sz w:val="21"/>
        </w:rPr>
        <w:t>[11]</w:t>
      </w:r>
      <w:r>
        <w:rPr>
          <w:rFonts w:ascii="Calibri" w:hAnsi="Calibri" w:eastAsia="微软雅黑"/>
          <w:b w:val="0"/>
          <w:i w:val="0"/>
          <w:sz w:val="21"/>
        </w:rPr>
        <w:t>的跨方法大样本评估（1045个月度时间序列），指出机器学习方法在预测精度上并不显著优于传统统计方法，甚至在某些场景下更差。该研究特别强调了计算成本高、调参复杂等问题。</w:t>
      </w:r>
    </w:p>
    <w:p>
      <w:r>
        <w:rPr>
          <w:rFonts w:ascii="Calibri" w:hAnsi="Calibri" w:eastAsia="微软雅黑"/>
          <w:b w:val="0"/>
          <w:i w:val="0"/>
          <w:sz w:val="21"/>
        </w:rPr>
        <w:t>经交叉辩论后形成共识：</w:t>
      </w:r>
      <w:r>
        <w:rPr>
          <w:rFonts w:ascii="Calibri" w:hAnsi="Calibri" w:eastAsia="微软雅黑"/>
          <w:b/>
          <w:i w:val="0"/>
          <w:sz w:val="21"/>
        </w:rPr>
        <w:t>优势成立的条件性</w:t>
      </w:r>
      <w:r>
        <w:rPr>
          <w:rFonts w:ascii="Calibri" w:hAnsi="Calibri" w:eastAsia="微软雅黑"/>
          <w:b w:val="0"/>
          <w:i w:val="0"/>
          <w:sz w:val="21"/>
        </w:rPr>
        <w:t>。深度学习的优越性在高频、大数据量、强非线性的短期预测场景（如小时级负荷预测）中显著成立；但在低频、小样本的中长期预测中，传统统计方法（如指数平滑、季节性ARIMA）仍具有竞争力。这一结论对碳价预测尤为重要——碳市场数据通常仅数年、日度或周度，样本量有限，须谨慎评估深度学习在此场景下的适用性。</w:t>
      </w:r>
    </w:p>
    <w:p>
      <w:r>
        <w:rPr>
          <w:rFonts w:ascii="Calibri" w:hAnsi="Calibri" w:eastAsia="微软雅黑"/>
          <w:b w:val="0"/>
          <w:i w:val="0"/>
          <w:sz w:val="21"/>
        </w:rPr>
      </w:r>
      <w:r>
        <w:rPr>
          <w:rFonts w:ascii="Calibri" w:hAnsi="Calibri" w:eastAsia="微软雅黑"/>
          <w:b/>
          <w:i w:val="0"/>
          <w:sz w:val="21"/>
        </w:rPr>
        <w:t>辩论焦点二：分解-集成方法是否存在未来信息泄露？</w:t>
      </w:r>
      <w:r>
        <w:rPr>
          <w:rFonts w:ascii="Calibri" w:hAnsi="Calibri" w:eastAsia="微软雅黑"/>
          <w:b w:val="0"/>
          <w:i w:val="0"/>
          <w:sz w:val="21"/>
        </w:rPr>
      </w:r>
    </w:p>
    <w:p>
      <w:r>
        <w:rPr>
          <w:rFonts w:ascii="Calibri" w:hAnsi="Calibri" w:eastAsia="微软雅黑"/>
          <w:b w:val="0"/>
          <w:i w:val="0"/>
          <w:sz w:val="21"/>
        </w:rPr>
        <w:t>方法论审查部的“严谨性质疑派”尖锐指出，Qiu等</w:t>
      </w:r>
      <w:r>
        <w:rPr>
          <w:rFonts w:ascii="Calibri" w:hAnsi="Calibri" w:eastAsia="微软雅黑"/>
          <w:b/>
          <w:i w:val="0"/>
          <w:color w:val="2980B9"/>
          <w:sz w:val="21"/>
        </w:rPr>
        <w:t>[43]</w:t>
      </w:r>
      <w:r>
        <w:rPr>
          <w:rFonts w:ascii="Calibri" w:hAnsi="Calibri" w:eastAsia="微软雅黑"/>
          <w:b w:val="0"/>
          <w:i w:val="0"/>
          <w:sz w:val="21"/>
        </w:rPr>
        <w:t>采用的EMD分解方法，若未明确说明分解窗口与预测时点的对齐策略，极易将未来信息引入训练集，导致模型在离线测试中表现“优异”但在实际在线预测中失效。反方观点（创新性识别派）则认为，只要显式设计因果分解策略——如仅使用历史数据构建分解窗口——即可规避该风险。</w:t>
      </w:r>
    </w:p>
    <w:p>
      <w:r>
        <w:rPr>
          <w:rFonts w:ascii="Calibri" w:hAnsi="Calibri" w:eastAsia="微软雅黑"/>
          <w:b w:val="0"/>
          <w:i w:val="0"/>
          <w:sz w:val="21"/>
        </w:rPr>
        <w:t>交叉辩论结论：</w:t>
      </w:r>
      <w:r>
        <w:rPr>
          <w:rFonts w:ascii="Calibri" w:hAnsi="Calibri" w:eastAsia="微软雅黑"/>
          <w:b/>
          <w:i w:val="0"/>
          <w:sz w:val="21"/>
        </w:rPr>
        <w:t>分解-集成方法是一柄双刃剑</w:t>
      </w:r>
      <w:r>
        <w:rPr>
          <w:rFonts w:ascii="Calibri" w:hAnsi="Calibri" w:eastAsia="微软雅黑"/>
          <w:b w:val="0"/>
          <w:i w:val="0"/>
          <w:sz w:val="21"/>
        </w:rPr>
        <w:t>。研究必须明确报告分解对齐策略，并建议将分解后的训练-验证-测试划分方式作为方法复现的关键信息。当前多数论文未对此进行说明，这是领域内方法论报告标准的普遍缺陷。</w:t>
      </w:r>
    </w:p>
    <w:p>
      <w:r>
        <w:rPr>
          <w:rFonts w:ascii="Calibri" w:hAnsi="Calibri" w:eastAsia="微软雅黑"/>
          <w:b w:val="0"/>
          <w:i w:val="0"/>
          <w:sz w:val="21"/>
        </w:rPr>
      </w:r>
      <w:r>
        <w:rPr>
          <w:rFonts w:ascii="Calibri" w:hAnsi="Calibri" w:eastAsia="微软雅黑"/>
          <w:b/>
          <w:i w:val="0"/>
          <w:sz w:val="21"/>
        </w:rPr>
        <w:t>辩论焦点三：可解释性是否是能源预测的必要条件？</w:t>
      </w:r>
      <w:r>
        <w:rPr>
          <w:rFonts w:ascii="Calibri" w:hAnsi="Calibri" w:eastAsia="微软雅黑"/>
          <w:b w:val="0"/>
          <w:i w:val="0"/>
          <w:sz w:val="21"/>
        </w:rPr>
      </w:r>
    </w:p>
    <w:p>
      <w:r>
        <w:rPr>
          <w:rFonts w:ascii="Calibri" w:hAnsi="Calibri" w:eastAsia="微软雅黑"/>
          <w:b w:val="0"/>
          <w:i w:val="0"/>
          <w:sz w:val="21"/>
        </w:rPr>
        <w:t>引用网络部的“影响力追踪派”基于论文引用网络分析指出，需求响应、电网调度等应用场景的决策者对黑箱模型缺乏信任，这是阻碍深度学习模型实际部署的核心障碍。然而，程序部的“技术选型师”则从性能出发，认为在精度提升显著的场景下（如预测精度提高15-20%），可解释性的不足可通过业务规则层弥补。</w:t>
      </w:r>
    </w:p>
    <w:p>
      <w:r>
        <w:rPr>
          <w:rFonts w:ascii="Calibri" w:hAnsi="Calibri" w:eastAsia="微软雅黑"/>
          <w:b w:val="0"/>
          <w:i w:val="0"/>
          <w:sz w:val="21"/>
        </w:rPr>
        <w:t>交叉辩论结论：</w:t>
      </w:r>
      <w:r>
        <w:rPr>
          <w:rFonts w:ascii="Calibri" w:hAnsi="Calibri" w:eastAsia="微软雅黑"/>
          <w:b/>
          <w:i w:val="0"/>
          <w:sz w:val="21"/>
        </w:rPr>
        <w:t>可解释性与精度之间并非零和博弈</w:t>
      </w:r>
      <w:r>
        <w:rPr>
          <w:rFonts w:ascii="Calibri" w:hAnsi="Calibri" w:eastAsia="微软雅黑"/>
          <w:b w:val="0"/>
          <w:i w:val="0"/>
          <w:sz w:val="21"/>
        </w:rPr>
        <w:t>。物理信息融合方法（如将能量守恒定律作为正则化项引入LSTM）正是一种兼顾可解释性与精度的中间路线。Yao等</w:t>
      </w:r>
      <w:r>
        <w:rPr>
          <w:rFonts w:ascii="Calibri" w:hAnsi="Calibri" w:eastAsia="微软雅黑"/>
          <w:b/>
          <w:i w:val="0"/>
          <w:color w:val="2980B9"/>
          <w:sz w:val="21"/>
        </w:rPr>
        <w:t>[9]</w:t>
      </w:r>
      <w:r>
        <w:rPr>
          <w:rFonts w:ascii="Calibri" w:hAnsi="Calibri" w:eastAsia="微软雅黑"/>
          <w:b w:val="0"/>
          <w:i w:val="0"/>
          <w:sz w:val="21"/>
        </w:rPr>
        <w:t>的综述为此方向提供了理论支撑，未来能源预测研究应在方法论设计阶段即考虑可解释性需求。</w:t>
      </w:r>
    </w:p>
    <w:p>
      <w:pPr>
        <w:pStyle w:val="Heading2"/>
      </w:pPr>
      <w:r>
        <w:rPr>
          <w:rFonts w:ascii="Calibri" w:hAnsi="Calibri" w:eastAsia="微软雅黑"/>
          <w:b/>
          <w:i w:val="0"/>
          <w:color w:val="1A1A2E"/>
          <w:sz w:val="24"/>
        </w:rPr>
        <w:t>三、核心发现与争议</w:t>
      </w:r>
    </w:p>
    <w:p>
      <w:r>
        <w:rPr>
          <w:rFonts w:ascii="Calibri" w:hAnsi="Calibri" w:eastAsia="微软雅黑"/>
          <w:b w:val="0"/>
          <w:i w:val="0"/>
          <w:sz w:val="21"/>
        </w:rPr>
      </w:r>
      <w:r>
        <w:rPr>
          <w:rFonts w:ascii="Calibri" w:hAnsi="Calibri" w:eastAsia="微软雅黑"/>
          <w:b/>
          <w:i w:val="0"/>
          <w:sz w:val="21"/>
        </w:rPr>
        <w:t>发现1：LSTM在短期负荷预测中精度显著优于传统方法，但小样本场景下优势递减</w:t>
      </w:r>
      <w:r>
        <w:rPr>
          <w:rFonts w:ascii="Calibri" w:hAnsi="Calibri" w:eastAsia="微软雅黑"/>
          <w:b w:val="0"/>
          <w:i w:val="0"/>
          <w:sz w:val="21"/>
        </w:rPr>
      </w:r>
    </w:p>
    <w:p>
      <w:r>
        <w:rPr>
          <w:rFonts w:ascii="Calibri" w:hAnsi="Calibri" w:eastAsia="微软雅黑"/>
          <w:b w:val="0"/>
          <w:i w:val="0"/>
          <w:sz w:val="21"/>
        </w:rPr>
      </w:r>
      <w:r>
        <w:rPr>
          <w:rFonts w:ascii="Calibri" w:hAnsi="Calibri" w:eastAsia="微软雅黑"/>
          <w:b/>
          <w:i w:val="0"/>
          <w:sz w:val="21"/>
        </w:rPr>
        <w:t>支持证据</w:t>
      </w:r>
      <w:r>
        <w:rPr>
          <w:rFonts w:ascii="Calibri" w:hAnsi="Calibri" w:eastAsia="微软雅黑"/>
          <w:b w:val="0"/>
          <w:i w:val="0"/>
          <w:sz w:val="21"/>
        </w:rPr>
        <w:t>：Shi等</w:t>
      </w:r>
      <w:r>
        <w:rPr>
          <w:rFonts w:ascii="Calibri" w:hAnsi="Calibri" w:eastAsia="微软雅黑"/>
          <w:b/>
          <w:i w:val="0"/>
          <w:color w:val="2980B9"/>
          <w:sz w:val="21"/>
        </w:rPr>
        <w:t>[42]</w:t>
      </w:r>
      <w:r>
        <w:rPr>
          <w:rFonts w:ascii="Calibri" w:hAnsi="Calibri" w:eastAsia="微软雅黑"/>
          <w:b w:val="0"/>
          <w:i w:val="0"/>
          <w:sz w:val="21"/>
        </w:rPr>
        <w:t>提出的Pooling Deep RNN模型在家庭负荷预测中实现了MAPE低于5%的精度，显著优于ARIMA的12-15%。Aslam等</w:t>
      </w:r>
      <w:r>
        <w:rPr>
          <w:rFonts w:ascii="Calibri" w:hAnsi="Calibri" w:eastAsia="微软雅黑"/>
          <w:b/>
          <w:i w:val="0"/>
          <w:color w:val="2980B9"/>
          <w:sz w:val="21"/>
        </w:rPr>
        <w:t>[35]</w:t>
      </w:r>
      <w:r>
        <w:rPr>
          <w:rFonts w:ascii="Calibri" w:hAnsi="Calibri" w:eastAsia="微软雅黑"/>
          <w:b w:val="0"/>
          <w:i w:val="0"/>
          <w:sz w:val="21"/>
        </w:rPr>
        <w:t>的综述系统总结了200余篇相关研究，指出深度学习在小时级和天级负荷预测中普遍表现出色。</w:t>
      </w:r>
    </w:p>
    <w:p>
      <w:r>
        <w:rPr>
          <w:rFonts w:ascii="Calibri" w:hAnsi="Calibri" w:eastAsia="微软雅黑"/>
          <w:b w:val="0"/>
          <w:i w:val="0"/>
          <w:sz w:val="21"/>
        </w:rPr>
      </w:r>
      <w:r>
        <w:rPr>
          <w:rFonts w:ascii="Calibri" w:hAnsi="Calibri" w:eastAsia="微软雅黑"/>
          <w:b/>
          <w:i w:val="0"/>
          <w:sz w:val="21"/>
        </w:rPr>
        <w:t>反方质疑</w:t>
      </w:r>
      <w:r>
        <w:rPr>
          <w:rFonts w:ascii="Calibri" w:hAnsi="Calibri" w:eastAsia="微软雅黑"/>
          <w:b w:val="0"/>
          <w:i w:val="0"/>
          <w:sz w:val="21"/>
        </w:rPr>
        <w:t>：Makridakis等</w:t>
      </w:r>
      <w:r>
        <w:rPr>
          <w:rFonts w:ascii="Calibri" w:hAnsi="Calibri" w:eastAsia="微软雅黑"/>
          <w:b/>
          <w:i w:val="0"/>
          <w:color w:val="2980B9"/>
          <w:sz w:val="21"/>
        </w:rPr>
        <w:t>[11]</w:t>
      </w:r>
      <w:r>
        <w:rPr>
          <w:rFonts w:ascii="Calibri" w:hAnsi="Calibri" w:eastAsia="微软雅黑"/>
          <w:b w:val="0"/>
          <w:i w:val="0"/>
          <w:sz w:val="21"/>
        </w:rPr>
        <w:t>对1045个月度时间序列的跨方法评估发现，简单统计方法（如Theta模型）在长周期预测（半年以上）中同样具有竞争力。数据验证部的“交叉验证派”进一步指出，在样本量小于500点的场景下，LSTM的过拟合风险极高，泛化能力可能不如经过精调的随机森林。</w:t>
      </w:r>
    </w:p>
    <w:p>
      <w:r>
        <w:rPr>
          <w:rFonts w:ascii="Calibri" w:hAnsi="Calibri" w:eastAsia="微软雅黑"/>
          <w:b w:val="0"/>
          <w:i w:val="0"/>
          <w:sz w:val="21"/>
        </w:rPr>
      </w:r>
      <w:r>
        <w:rPr>
          <w:rFonts w:ascii="Calibri" w:hAnsi="Calibri" w:eastAsia="微软雅黑"/>
          <w:b/>
          <w:i w:val="0"/>
          <w:sz w:val="21"/>
        </w:rPr>
        <w:t>辩论结论</w:t>
      </w:r>
      <w:r>
        <w:rPr>
          <w:rFonts w:ascii="Calibri" w:hAnsi="Calibri" w:eastAsia="微软雅黑"/>
          <w:b w:val="0"/>
          <w:i w:val="0"/>
          <w:sz w:val="21"/>
        </w:rPr>
        <w:t>：LSTM的优势在数据量充足（≥2000点）且预测窗口较短（≤24小时）时最为显著。对碳价预测这一特定场景（通常仅有数百至数千个日度观测值），须采取早停法、Dropout等严格正则化策略，并优先建立随机森林等基线模型进行对比验证。</w:t>
      </w:r>
    </w:p>
    <w:p>
      <w:r>
        <w:rPr>
          <w:rFonts w:ascii="Calibri" w:hAnsi="Calibri" w:eastAsia="微软雅黑"/>
          <w:b w:val="0"/>
          <w:i w:val="0"/>
          <w:sz w:val="21"/>
        </w:rPr>
      </w:r>
      <w:r>
        <w:rPr>
          <w:rFonts w:ascii="Calibri" w:hAnsi="Calibri" w:eastAsia="微软雅黑"/>
          <w:b/>
          <w:i w:val="0"/>
          <w:sz w:val="21"/>
        </w:rPr>
        <w:t>置信度</w:t>
      </w:r>
      <w:r>
        <w:rPr>
          <w:rFonts w:ascii="Calibri" w:hAnsi="Calibri" w:eastAsia="微软雅黑"/>
          <w:b w:val="0"/>
          <w:i w:val="0"/>
          <w:sz w:val="21"/>
        </w:rPr>
        <w:t>：🟢高</w:t>
      </w:r>
    </w:p>
    <w:p>
      <w:r>
        <w:rPr>
          <w:rFonts w:ascii="Calibri" w:hAnsi="Calibri" w:eastAsia="微软雅黑"/>
          <w:b w:val="0"/>
          <w:i w:val="0"/>
          <w:sz w:val="21"/>
        </w:rPr>
        <w:t>---</w:t>
      </w:r>
    </w:p>
    <w:p>
      <w:r>
        <w:rPr>
          <w:rFonts w:ascii="Calibri" w:hAnsi="Calibri" w:eastAsia="微软雅黑"/>
          <w:b w:val="0"/>
          <w:i w:val="0"/>
          <w:sz w:val="21"/>
        </w:rPr>
      </w:r>
      <w:r>
        <w:rPr>
          <w:rFonts w:ascii="Calibri" w:hAnsi="Calibri" w:eastAsia="微软雅黑"/>
          <w:b/>
          <w:i w:val="0"/>
          <w:sz w:val="21"/>
        </w:rPr>
        <w:t>发现2：分解-集成方法可降低预测误差15-20%，但存在未来信息泄露风险</w:t>
      </w:r>
      <w:r>
        <w:rPr>
          <w:rFonts w:ascii="Calibri" w:hAnsi="Calibri" w:eastAsia="微软雅黑"/>
          <w:b w:val="0"/>
          <w:i w:val="0"/>
          <w:sz w:val="21"/>
        </w:rPr>
      </w:r>
    </w:p>
    <w:p>
      <w:r>
        <w:rPr>
          <w:rFonts w:ascii="Calibri" w:hAnsi="Calibri" w:eastAsia="微软雅黑"/>
          <w:b w:val="0"/>
          <w:i w:val="0"/>
          <w:sz w:val="21"/>
        </w:rPr>
      </w:r>
      <w:r>
        <w:rPr>
          <w:rFonts w:ascii="Calibri" w:hAnsi="Calibri" w:eastAsia="微软雅黑"/>
          <w:b/>
          <w:i w:val="0"/>
          <w:sz w:val="21"/>
        </w:rPr>
        <w:t>支持证据</w:t>
      </w:r>
      <w:r>
        <w:rPr>
          <w:rFonts w:ascii="Calibri" w:hAnsi="Calibri" w:eastAsia="微软雅黑"/>
          <w:b w:val="0"/>
          <w:i w:val="0"/>
          <w:sz w:val="21"/>
        </w:rPr>
        <w:t>：Qiu等</w:t>
      </w:r>
      <w:r>
        <w:rPr>
          <w:rFonts w:ascii="Calibri" w:hAnsi="Calibri" w:eastAsia="微软雅黑"/>
          <w:b/>
          <w:i w:val="0"/>
          <w:color w:val="2980B9"/>
          <w:sz w:val="21"/>
        </w:rPr>
        <w:t>[43]</w:t>
      </w:r>
      <w:r>
        <w:rPr>
          <w:rFonts w:ascii="Calibri" w:hAnsi="Calibri" w:eastAsia="微软雅黑"/>
          <w:b w:val="0"/>
          <w:i w:val="0"/>
          <w:sz w:val="21"/>
        </w:rPr>
        <w:t>首创的EMD集成深度学习方法，在负荷需求预测中降低了约15%的RMSE。该方法将非平稳序列分解为多个相对平稳的本征模态函数，分别建模后集成，有效应对了非平稳性问题。</w:t>
      </w:r>
    </w:p>
    <w:p>
      <w:r>
        <w:rPr>
          <w:rFonts w:ascii="Calibri" w:hAnsi="Calibri" w:eastAsia="微软雅黑"/>
          <w:b w:val="0"/>
          <w:i w:val="0"/>
          <w:sz w:val="21"/>
        </w:rPr>
      </w:r>
      <w:r>
        <w:rPr>
          <w:rFonts w:ascii="Calibri" w:hAnsi="Calibri" w:eastAsia="微软雅黑"/>
          <w:b/>
          <w:i w:val="0"/>
          <w:sz w:val="21"/>
        </w:rPr>
        <w:t>反方质疑</w:t>
      </w:r>
      <w:r>
        <w:rPr>
          <w:rFonts w:ascii="Calibri" w:hAnsi="Calibri" w:eastAsia="微软雅黑"/>
          <w:b w:val="0"/>
          <w:i w:val="0"/>
          <w:sz w:val="21"/>
        </w:rPr>
        <w:t>：方法论审查部的“严谨性质疑派”严厉批评了分解-集成方法的因果完整性。若EMD分解窗口覆盖了未来时间点，则预测模型将提前“看到”未来信息，导致模型在真实场景中的性能远逊于实验结果。此外，程序部的“代码架构师”指出，碳价序列中存在政策突变等结构性断裂，EMD对此类事件的处理能力未经系统验证。</w:t>
      </w:r>
    </w:p>
    <w:p>
      <w:r>
        <w:rPr>
          <w:rFonts w:ascii="Calibri" w:hAnsi="Calibri" w:eastAsia="微软雅黑"/>
          <w:b w:val="0"/>
          <w:i w:val="0"/>
          <w:sz w:val="21"/>
        </w:rPr>
      </w:r>
      <w:r>
        <w:rPr>
          <w:rFonts w:ascii="Calibri" w:hAnsi="Calibri" w:eastAsia="微软雅黑"/>
          <w:b/>
          <w:i w:val="0"/>
          <w:sz w:val="21"/>
        </w:rPr>
        <w:t>辩论结论</w:t>
      </w:r>
      <w:r>
        <w:rPr>
          <w:rFonts w:ascii="Calibri" w:hAnsi="Calibri" w:eastAsia="微软雅黑"/>
          <w:b w:val="0"/>
          <w:i w:val="0"/>
          <w:sz w:val="21"/>
        </w:rPr>
        <w:t>：分解-集成方法应在方法论部分明确报告对齐策略（如仅使用历史数据的滚动窗口分解）。优先采用因果分解方法（如理论驱动的变分模态分解VMD，而非完全数据驱动的EMD），以减小未来信息泄露风险。</w:t>
      </w:r>
    </w:p>
    <w:p>
      <w:r>
        <w:rPr>
          <w:rFonts w:ascii="Calibri" w:hAnsi="Calibri" w:eastAsia="微软雅黑"/>
          <w:b w:val="0"/>
          <w:i w:val="0"/>
          <w:sz w:val="21"/>
        </w:rPr>
      </w:r>
      <w:r>
        <w:rPr>
          <w:rFonts w:ascii="Calibri" w:hAnsi="Calibri" w:eastAsia="微软雅黑"/>
          <w:b/>
          <w:i w:val="0"/>
          <w:sz w:val="21"/>
        </w:rPr>
        <w:t>置信度</w:t>
      </w:r>
      <w:r>
        <w:rPr>
          <w:rFonts w:ascii="Calibri" w:hAnsi="Calibri" w:eastAsia="微软雅黑"/>
          <w:b w:val="0"/>
          <w:i w:val="0"/>
          <w:sz w:val="21"/>
        </w:rPr>
        <w:t>：🟡中</w:t>
      </w:r>
    </w:p>
    <w:p>
      <w:r>
        <w:rPr>
          <w:rFonts w:ascii="Calibri" w:hAnsi="Calibri" w:eastAsia="微软雅黑"/>
          <w:b w:val="0"/>
          <w:i w:val="0"/>
          <w:sz w:val="21"/>
        </w:rPr>
        <w:t>---</w:t>
      </w:r>
    </w:p>
    <w:p>
      <w:r>
        <w:rPr>
          <w:rFonts w:ascii="Calibri" w:hAnsi="Calibri" w:eastAsia="微软雅黑"/>
          <w:b w:val="0"/>
          <w:i w:val="0"/>
          <w:sz w:val="21"/>
        </w:rPr>
      </w:r>
      <w:r>
        <w:rPr>
          <w:rFonts w:ascii="Calibri" w:hAnsi="Calibri" w:eastAsia="微软雅黑"/>
          <w:b/>
          <w:i w:val="0"/>
          <w:sz w:val="21"/>
        </w:rPr>
        <w:t>发现3：物理信息融合是提升模型可解释性与泛化能力的前沿方向</w:t>
      </w:r>
      <w:r>
        <w:rPr>
          <w:rFonts w:ascii="Calibri" w:hAnsi="Calibri" w:eastAsia="微软雅黑"/>
          <w:b w:val="0"/>
          <w:i w:val="0"/>
          <w:sz w:val="21"/>
        </w:rPr>
      </w:r>
    </w:p>
    <w:p>
      <w:r>
        <w:rPr>
          <w:rFonts w:ascii="Calibri" w:hAnsi="Calibri" w:eastAsia="微软雅黑"/>
          <w:b w:val="0"/>
          <w:i w:val="0"/>
          <w:sz w:val="21"/>
        </w:rPr>
      </w:r>
      <w:r>
        <w:rPr>
          <w:rFonts w:ascii="Calibri" w:hAnsi="Calibri" w:eastAsia="微软雅黑"/>
          <w:b/>
          <w:i w:val="0"/>
          <w:sz w:val="21"/>
        </w:rPr>
        <w:t>支持证据</w:t>
      </w:r>
      <w:r>
        <w:rPr>
          <w:rFonts w:ascii="Calibri" w:hAnsi="Calibri" w:eastAsia="微软雅黑"/>
          <w:b w:val="0"/>
          <w:i w:val="0"/>
          <w:sz w:val="21"/>
        </w:rPr>
        <w:t>：Yao等</w:t>
      </w:r>
      <w:r>
        <w:rPr>
          <w:rFonts w:ascii="Calibri" w:hAnsi="Calibri" w:eastAsia="微软雅黑"/>
          <w:b/>
          <w:i w:val="0"/>
          <w:color w:val="2980B9"/>
          <w:sz w:val="21"/>
        </w:rPr>
        <w:t>[9]</w:t>
      </w:r>
      <w:r>
        <w:rPr>
          <w:rFonts w:ascii="Calibri" w:hAnsi="Calibri" w:eastAsia="微软雅黑"/>
          <w:b w:val="0"/>
          <w:i w:val="0"/>
          <w:sz w:val="21"/>
        </w:rPr>
        <w:t>在《Nature Reviews Materials》上系统论述了机器学习在可持续能源系统中的应用前景，其中物理信息融合被认为是最具潜力的发展方向之一。Ghoddusi等</w:t>
      </w:r>
      <w:r>
        <w:rPr>
          <w:rFonts w:ascii="Calibri" w:hAnsi="Calibri" w:eastAsia="微软雅黑"/>
          <w:b/>
          <w:i w:val="0"/>
          <w:color w:val="2980B9"/>
          <w:sz w:val="21"/>
        </w:rPr>
        <w:t>[10]</w:t>
      </w:r>
      <w:r>
        <w:rPr>
          <w:rFonts w:ascii="Calibri" w:hAnsi="Calibri" w:eastAsia="微软雅黑"/>
          <w:b w:val="0"/>
          <w:i w:val="0"/>
          <w:sz w:val="21"/>
        </w:rPr>
        <w:t>在综述中也指出，将能源经济学的基本规律（如供需平衡、价格弹性）嵌入预测模型，可有效提升模型的经济学合理性。</w:t>
      </w:r>
    </w:p>
    <w:p>
      <w:r>
        <w:rPr>
          <w:rFonts w:ascii="Calibri" w:hAnsi="Calibri" w:eastAsia="微软雅黑"/>
          <w:b w:val="0"/>
          <w:i w:val="0"/>
          <w:sz w:val="21"/>
        </w:rPr>
      </w:r>
      <w:r>
        <w:rPr>
          <w:rFonts w:ascii="Calibri" w:hAnsi="Calibri" w:eastAsia="微软雅黑"/>
          <w:b/>
          <w:i w:val="0"/>
          <w:sz w:val="21"/>
        </w:rPr>
        <w:t>反方质疑</w:t>
      </w:r>
      <w:r>
        <w:rPr>
          <w:rFonts w:ascii="Calibri" w:hAnsi="Calibri" w:eastAsia="微软雅黑"/>
          <w:b w:val="0"/>
          <w:i w:val="0"/>
          <w:sz w:val="21"/>
        </w:rPr>
        <w:t>：引用网络部的“影响力追踪派”指出，物理信息融合在能源预测中的实际应用案例仍然稀少。方法论审查部的“创新性识别派”虽认可其理论价值，但认为目前缺乏统一的融合框架和可复现的基准实验。此外，对碳价预测而言，嵌入何种物理规律（如配额约束？边际减排成本曲线？）仍不明确。</w:t>
      </w:r>
    </w:p>
    <w:p>
      <w:r>
        <w:rPr>
          <w:rFonts w:ascii="Calibri" w:hAnsi="Calibri" w:eastAsia="微软雅黑"/>
          <w:b w:val="0"/>
          <w:i w:val="0"/>
          <w:sz w:val="21"/>
        </w:rPr>
      </w:r>
      <w:r>
        <w:rPr>
          <w:rFonts w:ascii="Calibri" w:hAnsi="Calibri" w:eastAsia="微软雅黑"/>
          <w:b/>
          <w:i w:val="0"/>
          <w:sz w:val="21"/>
        </w:rPr>
        <w:t>辩论结论</w:t>
      </w:r>
      <w:r>
        <w:rPr>
          <w:rFonts w:ascii="Calibri" w:hAnsi="Calibri" w:eastAsia="微软雅黑"/>
          <w:b w:val="0"/>
          <w:i w:val="0"/>
          <w:sz w:val="21"/>
        </w:rPr>
        <w:t>：物理信息融合方向具有重大潜力，但尚未成熟。建议从简单场景入手（如将能量守恒定律作为LSTM的正则化项），逐步积累经验。碳价预测可探索将碳市场配额总量约束作为先验知识融入模型。</w:t>
      </w:r>
    </w:p>
    <w:p>
      <w:r>
        <w:rPr>
          <w:rFonts w:ascii="Calibri" w:hAnsi="Calibri" w:eastAsia="微软雅黑"/>
          <w:b w:val="0"/>
          <w:i w:val="0"/>
          <w:sz w:val="21"/>
        </w:rPr>
      </w:r>
      <w:r>
        <w:rPr>
          <w:rFonts w:ascii="Calibri" w:hAnsi="Calibri" w:eastAsia="微软雅黑"/>
          <w:b/>
          <w:i w:val="0"/>
          <w:sz w:val="21"/>
        </w:rPr>
        <w:t>置信度</w:t>
      </w:r>
      <w:r>
        <w:rPr>
          <w:rFonts w:ascii="Calibri" w:hAnsi="Calibri" w:eastAsia="微软雅黑"/>
          <w:b w:val="0"/>
          <w:i w:val="0"/>
          <w:sz w:val="21"/>
        </w:rPr>
        <w:t>：🟡中</w:t>
      </w:r>
    </w:p>
    <w:p>
      <w:r>
        <w:rPr>
          <w:rFonts w:ascii="Calibri" w:hAnsi="Calibri" w:eastAsia="微软雅黑"/>
          <w:b w:val="0"/>
          <w:i w:val="0"/>
          <w:sz w:val="21"/>
        </w:rPr>
        <w:t>---</w:t>
      </w:r>
    </w:p>
    <w:p>
      <w:r>
        <w:rPr>
          <w:rFonts w:ascii="Calibri" w:hAnsi="Calibri" w:eastAsia="微软雅黑"/>
          <w:b w:val="0"/>
          <w:i w:val="0"/>
          <w:sz w:val="21"/>
        </w:rPr>
      </w:r>
      <w:r>
        <w:rPr>
          <w:rFonts w:ascii="Calibri" w:hAnsi="Calibri" w:eastAsia="微软雅黑"/>
          <w:b/>
          <w:i w:val="0"/>
          <w:sz w:val="21"/>
        </w:rPr>
        <w:t>发现4：碳价预测领域存在显著研究空白，现有方法主要基于类比迁移</w:t>
      </w:r>
      <w:r>
        <w:rPr>
          <w:rFonts w:ascii="Calibri" w:hAnsi="Calibri" w:eastAsia="微软雅黑"/>
          <w:b w:val="0"/>
          <w:i w:val="0"/>
          <w:sz w:val="21"/>
        </w:rPr>
      </w:r>
    </w:p>
    <w:p>
      <w:r>
        <w:rPr>
          <w:rFonts w:ascii="Calibri" w:hAnsi="Calibri" w:eastAsia="微软雅黑"/>
          <w:b w:val="0"/>
          <w:i w:val="0"/>
          <w:sz w:val="21"/>
        </w:rPr>
      </w:r>
      <w:r>
        <w:rPr>
          <w:rFonts w:ascii="Calibri" w:hAnsi="Calibri" w:eastAsia="微软雅黑"/>
          <w:b/>
          <w:i w:val="0"/>
          <w:sz w:val="21"/>
        </w:rPr>
        <w:t>支持证据</w:t>
      </w:r>
      <w:r>
        <w:rPr>
          <w:rFonts w:ascii="Calibri" w:hAnsi="Calibri" w:eastAsia="微软雅黑"/>
          <w:b w:val="0"/>
          <w:i w:val="0"/>
          <w:sz w:val="21"/>
        </w:rPr>
        <w:t>：Ghoddusi等</w:t>
      </w:r>
      <w:r>
        <w:rPr>
          <w:rFonts w:ascii="Calibri" w:hAnsi="Calibri" w:eastAsia="微软雅黑"/>
          <w:b/>
          <w:i w:val="0"/>
          <w:color w:val="2980B9"/>
          <w:sz w:val="21"/>
        </w:rPr>
        <w:t>[10]</w:t>
      </w:r>
      <w:r>
        <w:rPr>
          <w:rFonts w:ascii="Calibri" w:hAnsi="Calibri" w:eastAsia="微软雅黑"/>
          <w:b w:val="0"/>
          <w:i w:val="0"/>
          <w:sz w:val="21"/>
        </w:rPr>
        <w:t>的综述虽涵盖机器学习在能源经济学中的应用，但未对碳价预测进行专题深入分析。Nadirgil</w:t>
      </w:r>
      <w:r>
        <w:rPr>
          <w:rFonts w:ascii="Calibri" w:hAnsi="Calibri" w:eastAsia="微软雅黑"/>
          <w:b/>
          <w:i w:val="0"/>
          <w:color w:val="2980B9"/>
          <w:sz w:val="21"/>
        </w:rPr>
        <w:t>[31]</w:t>
      </w:r>
      <w:r>
        <w:rPr>
          <w:rFonts w:ascii="Calibri" w:hAnsi="Calibri" w:eastAsia="微软雅黑"/>
          <w:b w:val="0"/>
          <w:i w:val="0"/>
          <w:sz w:val="21"/>
        </w:rPr>
        <w:t>在2023年的研究首次系统性探索了多种混合机器学习模型在碳价预测中的应用，填补了部分空白，但其研究仍是孤例。</w:t>
      </w:r>
    </w:p>
    <w:p>
      <w:r>
        <w:rPr>
          <w:rFonts w:ascii="Calibri" w:hAnsi="Calibri" w:eastAsia="微软雅黑"/>
          <w:b w:val="0"/>
          <w:i w:val="0"/>
          <w:sz w:val="21"/>
        </w:rPr>
      </w:r>
      <w:r>
        <w:rPr>
          <w:rFonts w:ascii="Calibri" w:hAnsi="Calibri" w:eastAsia="微软雅黑"/>
          <w:b/>
          <w:i w:val="0"/>
          <w:sz w:val="21"/>
        </w:rPr>
        <w:t>反方质疑</w:t>
      </w:r>
      <w:r>
        <w:rPr>
          <w:rFonts w:ascii="Calibri" w:hAnsi="Calibri" w:eastAsia="微软雅黑"/>
          <w:b w:val="0"/>
          <w:i w:val="0"/>
          <w:sz w:val="21"/>
        </w:rPr>
        <w:t>：数据验证部的“交叉验证派”明确指出，在论文清单的50篇论文中，“没有任何一篇论文直接讨论碳价预测模型或方法”。相关论文聚焦于物理碳通量（如全球碳收支</w:t>
      </w:r>
      <w:r>
        <w:rPr>
          <w:rFonts w:ascii="Calibri" w:hAnsi="Calibri" w:eastAsia="微软雅黑"/>
          <w:b/>
          <w:i w:val="0"/>
          <w:color w:val="2980B9"/>
          <w:sz w:val="21"/>
        </w:rPr>
        <w:t>[14]</w:t>
      </w:r>
      <w:r>
        <w:rPr>
          <w:rFonts w:ascii="Calibri" w:hAnsi="Calibri" w:eastAsia="微软雅黑"/>
          <w:b w:val="0"/>
          <w:i w:val="0"/>
          <w:sz w:val="21"/>
        </w:rPr>
        <w:t>、土壤碳管理</w:t>
      </w:r>
      <w:r>
        <w:rPr>
          <w:rFonts w:ascii="Calibri" w:hAnsi="Calibri" w:eastAsia="微软雅黑"/>
          <w:b/>
          <w:i w:val="0"/>
          <w:color w:val="2980B9"/>
          <w:sz w:val="21"/>
        </w:rPr>
        <w:t>[20]</w:t>
      </w:r>
      <w:r>
        <w:rPr>
          <w:rFonts w:ascii="Calibri" w:hAnsi="Calibri" w:eastAsia="微软雅黑"/>
          <w:b w:val="0"/>
          <w:i w:val="0"/>
          <w:sz w:val="21"/>
        </w:rPr>
        <w:t>），而非经济碳价格。方法论审查部的“严谨性质疑派”进一步指出，即便Nadirgil</w:t>
      </w:r>
      <w:r>
        <w:rPr>
          <w:rFonts w:ascii="Calibri" w:hAnsi="Calibri" w:eastAsia="微软雅黑"/>
          <w:b/>
          <w:i w:val="0"/>
          <w:color w:val="2980B9"/>
          <w:sz w:val="21"/>
        </w:rPr>
        <w:t>[31]</w:t>
      </w:r>
      <w:r>
        <w:rPr>
          <w:rFonts w:ascii="Calibri" w:hAnsi="Calibri" w:eastAsia="微软雅黑"/>
          <w:b w:val="0"/>
          <w:i w:val="0"/>
          <w:sz w:val="21"/>
        </w:rPr>
        <w:t>的工作，其方法论严谨性（如统计检验、跨市场验证）也未达到理想水平。</w:t>
      </w:r>
    </w:p>
    <w:p>
      <w:r>
        <w:rPr>
          <w:rFonts w:ascii="Calibri" w:hAnsi="Calibri" w:eastAsia="微软雅黑"/>
          <w:b w:val="0"/>
          <w:i w:val="0"/>
          <w:sz w:val="21"/>
        </w:rPr>
      </w:r>
      <w:r>
        <w:rPr>
          <w:rFonts w:ascii="Calibri" w:hAnsi="Calibri" w:eastAsia="微软雅黑"/>
          <w:b/>
          <w:i w:val="0"/>
          <w:sz w:val="21"/>
        </w:rPr>
        <w:t>辩论结论</w:t>
      </w:r>
      <w:r>
        <w:rPr>
          <w:rFonts w:ascii="Calibri" w:hAnsi="Calibri" w:eastAsia="微软雅黑"/>
          <w:b w:val="0"/>
          <w:i w:val="0"/>
          <w:sz w:val="21"/>
        </w:rPr>
        <w:t>：碳价预测是一个被严重忽视的交叉领域。现有工作多基于负荷预测方法的类比迁移，缺乏对碳市场特殊属性（政策驱动、结构性突变、市场制度差异）的系统建模。这一缺口的填补需要同时具备能源经济学和机器学习背景的研究者协同推进。</w:t>
      </w:r>
    </w:p>
    <w:p>
      <w:r>
        <w:rPr>
          <w:rFonts w:ascii="Calibri" w:hAnsi="Calibri" w:eastAsia="微软雅黑"/>
          <w:b w:val="0"/>
          <w:i w:val="0"/>
          <w:sz w:val="21"/>
        </w:rPr>
      </w:r>
      <w:r>
        <w:rPr>
          <w:rFonts w:ascii="Calibri" w:hAnsi="Calibri" w:eastAsia="微软雅黑"/>
          <w:b/>
          <w:i w:val="0"/>
          <w:sz w:val="21"/>
        </w:rPr>
        <w:t>置信度</w:t>
      </w:r>
      <w:r>
        <w:rPr>
          <w:rFonts w:ascii="Calibri" w:hAnsi="Calibri" w:eastAsia="微软雅黑"/>
          <w:b w:val="0"/>
          <w:i w:val="0"/>
          <w:sz w:val="21"/>
        </w:rPr>
        <w:t>：🟢高</w:t>
      </w:r>
    </w:p>
    <w:p>
      <w:r>
        <w:rPr>
          <w:rFonts w:ascii="Calibri" w:hAnsi="Calibri" w:eastAsia="微软雅黑"/>
          <w:b w:val="0"/>
          <w:i w:val="0"/>
          <w:sz w:val="21"/>
        </w:rPr>
        <w:t>---</w:t>
      </w:r>
    </w:p>
    <w:p>
      <w:r>
        <w:rPr>
          <w:rFonts w:ascii="Calibri" w:hAnsi="Calibri" w:eastAsia="微软雅黑"/>
          <w:b w:val="0"/>
          <w:i w:val="0"/>
          <w:sz w:val="21"/>
        </w:rPr>
      </w:r>
      <w:r>
        <w:rPr>
          <w:rFonts w:ascii="Calibri" w:hAnsi="Calibri" w:eastAsia="微软雅黑"/>
          <w:b/>
          <w:i w:val="0"/>
          <w:sz w:val="21"/>
        </w:rPr>
        <w:t>发现5：模型可解释性与部署可行性之间存在显著张力</w:t>
      </w:r>
      <w:r>
        <w:rPr>
          <w:rFonts w:ascii="Calibri" w:hAnsi="Calibri" w:eastAsia="微软雅黑"/>
          <w:b w:val="0"/>
          <w:i w:val="0"/>
          <w:sz w:val="21"/>
        </w:rPr>
      </w:r>
    </w:p>
    <w:p>
      <w:r>
        <w:rPr>
          <w:rFonts w:ascii="Calibri" w:hAnsi="Calibri" w:eastAsia="微软雅黑"/>
          <w:b w:val="0"/>
          <w:i w:val="0"/>
          <w:sz w:val="21"/>
        </w:rPr>
      </w:r>
      <w:r>
        <w:rPr>
          <w:rFonts w:ascii="Calibri" w:hAnsi="Calibri" w:eastAsia="微软雅黑"/>
          <w:b/>
          <w:i w:val="0"/>
          <w:sz w:val="21"/>
        </w:rPr>
        <w:t>支持证据</w:t>
      </w:r>
      <w:r>
        <w:rPr>
          <w:rFonts w:ascii="Calibri" w:hAnsi="Calibri" w:eastAsia="微软雅黑"/>
          <w:b w:val="0"/>
          <w:i w:val="0"/>
          <w:sz w:val="21"/>
        </w:rPr>
        <w:t>：Wen等</w:t>
      </w:r>
      <w:r>
        <w:rPr>
          <w:rFonts w:ascii="Calibri" w:hAnsi="Calibri" w:eastAsia="微软雅黑"/>
          <w:b/>
          <w:i w:val="0"/>
          <w:color w:val="2980B9"/>
          <w:sz w:val="21"/>
        </w:rPr>
        <w:t>[45]</w:t>
      </w:r>
      <w:r>
        <w:rPr>
          <w:rFonts w:ascii="Calibri" w:hAnsi="Calibri" w:eastAsia="微软雅黑"/>
          <w:b w:val="0"/>
          <w:i w:val="0"/>
          <w:sz w:val="21"/>
        </w:rPr>
        <w:t>开发的DRNN-LSTM模型虽然预测精度出色，但摘要中未提及任何可解释性分析。Wazirali等</w:t>
      </w:r>
      <w:r>
        <w:rPr>
          <w:rFonts w:ascii="Calibri" w:hAnsi="Calibri" w:eastAsia="微软雅黑"/>
          <w:b/>
          <w:i w:val="0"/>
          <w:color w:val="2980B9"/>
          <w:sz w:val="21"/>
        </w:rPr>
        <w:t>[49]</w:t>
      </w:r>
      <w:r>
        <w:rPr>
          <w:rFonts w:ascii="Calibri" w:hAnsi="Calibri" w:eastAsia="微软雅黑"/>
          <w:b w:val="0"/>
          <w:i w:val="0"/>
          <w:sz w:val="21"/>
        </w:rPr>
        <w:t>在微电网负荷预测综述中也回避了可解释性问题。然而，Ghoddusi等</w:t>
      </w:r>
      <w:r>
        <w:rPr>
          <w:rFonts w:ascii="Calibri" w:hAnsi="Calibri" w:eastAsia="微软雅黑"/>
          <w:b/>
          <w:i w:val="0"/>
          <w:color w:val="2980B9"/>
          <w:sz w:val="21"/>
        </w:rPr>
        <w:t>[10]</w:t>
      </w:r>
      <w:r>
        <w:rPr>
          <w:rFonts w:ascii="Calibri" w:hAnsi="Calibri" w:eastAsia="微软雅黑"/>
          <w:b w:val="0"/>
          <w:i w:val="0"/>
          <w:sz w:val="21"/>
        </w:rPr>
        <w:t>明确指出，能源经济学领域的政策制定者需要透明且可信的预测模型，黑箱特性严重制约了机器学习的实际采纳。</w:t>
      </w:r>
    </w:p>
    <w:p>
      <w:r>
        <w:rPr>
          <w:rFonts w:ascii="Calibri" w:hAnsi="Calibri" w:eastAsia="微软雅黑"/>
          <w:b w:val="0"/>
          <w:i w:val="0"/>
          <w:sz w:val="21"/>
        </w:rPr>
      </w:r>
      <w:r>
        <w:rPr>
          <w:rFonts w:ascii="Calibri" w:hAnsi="Calibri" w:eastAsia="微软雅黑"/>
          <w:b/>
          <w:i w:val="0"/>
          <w:sz w:val="21"/>
        </w:rPr>
        <w:t>反方质疑</w:t>
      </w:r>
      <w:r>
        <w:rPr>
          <w:rFonts w:ascii="Calibri" w:hAnsi="Calibri" w:eastAsia="微软雅黑"/>
          <w:b w:val="0"/>
          <w:i w:val="0"/>
          <w:sz w:val="21"/>
        </w:rPr>
        <w:t>：程序部的“调试优化师”认为，在部分工业场景中（如发电出力短期预测），精度提升带来的经济收益足以弥补可解释性不足的成本。引用网络部的“影响力追踪派”通过引用网络分析发现，部分高被引论文（如Aslam等</w:t>
      </w:r>
      <w:r>
        <w:rPr>
          <w:rFonts w:ascii="Calibri" w:hAnsi="Calibri" w:eastAsia="微软雅黑"/>
          <w:b/>
          <w:i w:val="0"/>
          <w:color w:val="2980B9"/>
          <w:sz w:val="21"/>
        </w:rPr>
        <w:t>[35]</w:t>
      </w:r>
      <w:r>
        <w:rPr>
          <w:rFonts w:ascii="Calibri" w:hAnsi="Calibri" w:eastAsia="微软雅黑"/>
          <w:b w:val="0"/>
          <w:i w:val="0"/>
          <w:sz w:val="21"/>
        </w:rPr>
        <w:t>）侧重方法综述，未区分学术研究和工业部署的不同需求层次。</w:t>
      </w:r>
    </w:p>
    <w:p>
      <w:r>
        <w:rPr>
          <w:rFonts w:ascii="Calibri" w:hAnsi="Calibri" w:eastAsia="微软雅黑"/>
          <w:b w:val="0"/>
          <w:i w:val="0"/>
          <w:sz w:val="21"/>
        </w:rPr>
      </w:r>
      <w:r>
        <w:rPr>
          <w:rFonts w:ascii="Calibri" w:hAnsi="Calibri" w:eastAsia="微软雅黑"/>
          <w:b/>
          <w:i w:val="0"/>
          <w:sz w:val="21"/>
        </w:rPr>
        <w:t>辩论结论</w:t>
      </w:r>
      <w:r>
        <w:rPr>
          <w:rFonts w:ascii="Calibri" w:hAnsi="Calibri" w:eastAsia="微软雅黑"/>
          <w:b w:val="0"/>
          <w:i w:val="0"/>
          <w:sz w:val="21"/>
        </w:rPr>
        <w:t>：可解释性需求具有场景依赖性。对辅助电网调度、交易策略制定等高风险决策场景，可解释性是必要条件；对低成本、可人工复核的辅助场景，精度优先策略亦可接受。未来研究应至少在论文中报告特征重要性分析或局部解释（如SHAP值），以提升方法的实用价值。</w:t>
      </w:r>
    </w:p>
    <w:p>
      <w:r>
        <w:rPr>
          <w:rFonts w:ascii="Calibri" w:hAnsi="Calibri" w:eastAsia="微软雅黑"/>
          <w:b w:val="0"/>
          <w:i w:val="0"/>
          <w:sz w:val="21"/>
        </w:rPr>
      </w:r>
      <w:r>
        <w:rPr>
          <w:rFonts w:ascii="Calibri" w:hAnsi="Calibri" w:eastAsia="微软雅黑"/>
          <w:b/>
          <w:i w:val="0"/>
          <w:sz w:val="21"/>
        </w:rPr>
        <w:t>置信度</w:t>
      </w:r>
      <w:r>
        <w:rPr>
          <w:rFonts w:ascii="Calibri" w:hAnsi="Calibri" w:eastAsia="微软雅黑"/>
          <w:b w:val="0"/>
          <w:i w:val="0"/>
          <w:sz w:val="21"/>
        </w:rPr>
        <w:t>：🟡中</w:t>
      </w:r>
    </w:p>
    <w:p>
      <w:pPr>
        <w:pStyle w:val="Heading2"/>
      </w:pPr>
      <w:r>
        <w:rPr>
          <w:rFonts w:ascii="Calibri" w:hAnsi="Calibri" w:eastAsia="微软雅黑"/>
          <w:b/>
          <w:i w:val="0"/>
          <w:color w:val="1A1A2E"/>
          <w:sz w:val="24"/>
        </w:rPr>
        <w:t>四、研究空白与文献计量佐证</w:t>
      </w:r>
    </w:p>
    <w:p>
      <w:r>
        <w:rPr>
          <w:rFonts w:ascii="Calibri" w:hAnsi="Calibri" w:eastAsia="微软雅黑"/>
          <w:b w:val="0"/>
          <w:i w:val="0"/>
          <w:sz w:val="21"/>
        </w:rPr>
      </w:r>
      <w:r>
        <w:rPr>
          <w:rFonts w:ascii="Calibri" w:hAnsi="Calibri" w:eastAsia="微软雅黑"/>
          <w:b/>
          <w:i w:val="0"/>
          <w:sz w:val="21"/>
        </w:rPr>
        <w:t>空白1：碳价预测的机器学习方法系统性研究严重不足</w:t>
      </w:r>
      <w:r>
        <w:rPr>
          <w:rFonts w:ascii="Calibri" w:hAnsi="Calibri" w:eastAsia="微软雅黑"/>
          <w:b w:val="0"/>
          <w:i w:val="0"/>
          <w:sz w:val="21"/>
        </w:rPr>
      </w:r>
    </w:p>
    <w:p>
      <w:r>
        <w:rPr>
          <w:rFonts w:ascii="Calibri" w:hAnsi="Calibri" w:eastAsia="微软雅黑"/>
          <w:b w:val="0"/>
          <w:i w:val="0"/>
          <w:sz w:val="21"/>
        </w:rPr>
      </w:r>
      <w:r>
        <w:rPr>
          <w:rFonts w:ascii="Calibri" w:hAnsi="Calibri" w:eastAsia="微软雅黑"/>
          <w:b/>
          <w:i w:val="0"/>
          <w:sz w:val="21"/>
        </w:rPr>
        <w:t>现状</w:t>
      </w:r>
      <w:r>
        <w:rPr>
          <w:rFonts w:ascii="Calibri" w:hAnsi="Calibri" w:eastAsia="微软雅黑"/>
          <w:b w:val="0"/>
          <w:i w:val="0"/>
          <w:sz w:val="21"/>
        </w:rPr>
        <w:t>：50篇论文中，仅Nadirgil</w:t>
      </w:r>
      <w:r>
        <w:rPr>
          <w:rFonts w:ascii="Calibri" w:hAnsi="Calibri" w:eastAsia="微软雅黑"/>
          <w:b/>
          <w:i w:val="0"/>
          <w:color w:val="2980B9"/>
          <w:sz w:val="21"/>
        </w:rPr>
        <w:t>[31]</w:t>
      </w:r>
      <w:r>
        <w:rPr>
          <w:rFonts w:ascii="Calibri" w:hAnsi="Calibri" w:eastAsia="微软雅黑"/>
          <w:b w:val="0"/>
          <w:i w:val="0"/>
          <w:sz w:val="21"/>
        </w:rPr>
        <w:t>一篇直接涉及碳价预测（2023年发表），该研究使用多种混合机器学习模型进行碳价预测。其余论文即使涉及能源经济学（如Ghoddusi等</w:t>
      </w:r>
      <w:r>
        <w:rPr>
          <w:rFonts w:ascii="Calibri" w:hAnsi="Calibri" w:eastAsia="微软雅黑"/>
          <w:b/>
          <w:i w:val="0"/>
          <w:color w:val="2980B9"/>
          <w:sz w:val="21"/>
        </w:rPr>
        <w:t>[10]</w:t>
      </w:r>
      <w:r>
        <w:rPr>
          <w:rFonts w:ascii="Calibri" w:hAnsi="Calibri" w:eastAsia="微软雅黑"/>
          <w:b w:val="0"/>
          <w:i w:val="0"/>
          <w:sz w:val="21"/>
        </w:rPr>
        <w:t>），也仅将碳价预测作为子方向之一进行概括性讨论。</w:t>
      </w:r>
    </w:p>
    <w:p>
      <w:r>
        <w:rPr>
          <w:rFonts w:ascii="Calibri" w:hAnsi="Calibri" w:eastAsia="微软雅黑"/>
          <w:b w:val="0"/>
          <w:i w:val="0"/>
          <w:sz w:val="21"/>
        </w:rPr>
      </w:r>
      <w:r>
        <w:rPr>
          <w:rFonts w:ascii="Calibri" w:hAnsi="Calibri" w:eastAsia="微软雅黑"/>
          <w:b/>
          <w:i w:val="0"/>
          <w:sz w:val="21"/>
        </w:rPr>
        <w:t>为什么没人做</w:t>
      </w:r>
      <w:r>
        <w:rPr>
          <w:rFonts w:ascii="Calibri" w:hAnsi="Calibri" w:eastAsia="微软雅黑"/>
          <w:b w:val="0"/>
          <w:i w:val="0"/>
          <w:sz w:val="21"/>
        </w:rPr>
        <w:t>：碳市场数据获取门槛较高——中国试点碳市场数据分散、历史短（仅约10年）、交易制度频繁调整，导致清理干净、可直接建模的数据集稀缺。同时，碳价受政策冲击（如配额分配方案调整、碳中和目标更新）影响显著，纯数据驱动方法的建模难度较大。</w:t>
      </w:r>
    </w:p>
    <w:p>
      <w:r>
        <w:rPr>
          <w:rFonts w:ascii="Calibri" w:hAnsi="Calibri" w:eastAsia="微软雅黑"/>
          <w:b w:val="0"/>
          <w:i w:val="0"/>
          <w:sz w:val="21"/>
        </w:rPr>
      </w:r>
      <w:r>
        <w:rPr>
          <w:rFonts w:ascii="Calibri" w:hAnsi="Calibri" w:eastAsia="微软雅黑"/>
          <w:b/>
          <w:i w:val="0"/>
          <w:sz w:val="21"/>
        </w:rPr>
        <w:t>价值所在</w:t>
      </w:r>
      <w:r>
        <w:rPr>
          <w:rFonts w:ascii="Calibri" w:hAnsi="Calibri" w:eastAsia="微软雅黑"/>
          <w:b w:val="0"/>
          <w:i w:val="0"/>
          <w:sz w:val="21"/>
        </w:rPr>
        <w:t>：碳价预测是碳金融市场风险管理和企业碳资产管理的基础工具。全球碳市场规模已超过8500亿欧元，精准预测碳价波动对交易策略优化、投资决策和气候政策评估具有直接经济价值。</w:t>
      </w:r>
    </w:p>
    <w:p>
      <w:r>
        <w:rPr>
          <w:rFonts w:ascii="Calibri" w:hAnsi="Calibri" w:eastAsia="微软雅黑"/>
          <w:b w:val="0"/>
          <w:i w:val="0"/>
          <w:sz w:val="21"/>
        </w:rPr>
      </w:r>
      <w:r>
        <w:rPr>
          <w:rFonts w:ascii="Calibri" w:hAnsi="Calibri" w:eastAsia="微软雅黑"/>
          <w:b/>
          <w:i w:val="0"/>
          <w:sz w:val="21"/>
        </w:rPr>
        <w:t>可行路径</w:t>
      </w:r>
      <w:r>
        <w:rPr>
          <w:rFonts w:ascii="Calibri" w:hAnsi="Calibri" w:eastAsia="微软雅黑"/>
          <w:b w:val="0"/>
          <w:i w:val="0"/>
          <w:sz w:val="21"/>
        </w:rPr>
        <w:t>：构建统一的碳价预测基准数据集（整合EU ETS、中国试点、加州碳市场等多市场数据）；探索物理信息融合（嵌入碳市场运行规则，如配额总量、抵消机制）与因果推断方法（区分政策冲击与市场自发波动）。</w:t>
      </w:r>
    </w:p>
    <w:p>
      <w:r>
        <w:rPr>
          <w:rFonts w:ascii="Calibri" w:hAnsi="Calibri" w:eastAsia="微软雅黑"/>
          <w:b w:val="0"/>
          <w:i w:val="0"/>
          <w:sz w:val="21"/>
        </w:rPr>
      </w:r>
      <w:r>
        <w:rPr>
          <w:rFonts w:ascii="Calibri" w:hAnsi="Calibri" w:eastAsia="微软雅黑"/>
          <w:b/>
          <w:i w:val="0"/>
          <w:sz w:val="21"/>
        </w:rPr>
        <w:t>文献计量佐证</w:t>
      </w:r>
      <w:r>
        <w:rPr>
          <w:rFonts w:ascii="Calibri" w:hAnsi="Calibri" w:eastAsia="微软雅黑"/>
          <w:b w:val="0"/>
          <w:i w:val="0"/>
          <w:sz w:val="21"/>
        </w:rPr>
        <w:t>：50篇论文中仅1篇（2%）直接研究碳价预测，且该论文发表于2023年，缺乏跨市场验证与可复现代码。</w:t>
      </w:r>
    </w:p>
    <w:p>
      <w:r>
        <w:rPr>
          <w:rFonts w:ascii="Calibri" w:hAnsi="Calibri" w:eastAsia="微软雅黑"/>
          <w:b w:val="0"/>
          <w:i w:val="0"/>
          <w:sz w:val="21"/>
        </w:rPr>
        <w:t>---</w:t>
      </w:r>
    </w:p>
    <w:p>
      <w:r>
        <w:rPr>
          <w:rFonts w:ascii="Calibri" w:hAnsi="Calibri" w:eastAsia="微软雅黑"/>
          <w:b w:val="0"/>
          <w:i w:val="0"/>
          <w:sz w:val="21"/>
        </w:rPr>
      </w:r>
      <w:r>
        <w:rPr>
          <w:rFonts w:ascii="Calibri" w:hAnsi="Calibri" w:eastAsia="微软雅黑"/>
          <w:b/>
          <w:i w:val="0"/>
          <w:sz w:val="21"/>
        </w:rPr>
        <w:t>空白2：缺乏对“新能源比例上升”场景下预测方法稳定性的系统评估</w:t>
      </w:r>
      <w:r>
        <w:rPr>
          <w:rFonts w:ascii="Calibri" w:hAnsi="Calibri" w:eastAsia="微软雅黑"/>
          <w:b w:val="0"/>
          <w:i w:val="0"/>
          <w:sz w:val="21"/>
        </w:rPr>
      </w:r>
    </w:p>
    <w:p>
      <w:r>
        <w:rPr>
          <w:rFonts w:ascii="Calibri" w:hAnsi="Calibri" w:eastAsia="微软雅黑"/>
          <w:b w:val="0"/>
          <w:i w:val="0"/>
          <w:sz w:val="21"/>
        </w:rPr>
      </w:r>
      <w:r>
        <w:rPr>
          <w:rFonts w:ascii="Calibri" w:hAnsi="Calibri" w:eastAsia="微软雅黑"/>
          <w:b/>
          <w:i w:val="0"/>
          <w:sz w:val="21"/>
        </w:rPr>
        <w:t>现状</w:t>
      </w:r>
      <w:r>
        <w:rPr>
          <w:rFonts w:ascii="Calibri" w:hAnsi="Calibri" w:eastAsia="微软雅黑"/>
          <w:b w:val="0"/>
          <w:i w:val="0"/>
          <w:sz w:val="21"/>
        </w:rPr>
        <w:t>：随着可再生能源渗透率快速提升，电网负荷的随机性和波动性显著加剧。现有深度学习预测模型（如Shi等</w:t>
      </w:r>
      <w:r>
        <w:rPr>
          <w:rFonts w:ascii="Calibri" w:hAnsi="Calibri" w:eastAsia="微软雅黑"/>
          <w:b/>
          <w:i w:val="0"/>
          <w:color w:val="2980B9"/>
          <w:sz w:val="21"/>
        </w:rPr>
        <w:t>[42]</w:t>
      </w:r>
      <w:r>
        <w:rPr>
          <w:rFonts w:ascii="Calibri" w:hAnsi="Calibri" w:eastAsia="微软雅黑"/>
          <w:b w:val="0"/>
          <w:i w:val="0"/>
          <w:sz w:val="21"/>
        </w:rPr>
        <w:t>、Bedi等</w:t>
      </w:r>
      <w:r>
        <w:rPr>
          <w:rFonts w:ascii="Calibri" w:hAnsi="Calibri" w:eastAsia="微软雅黑"/>
          <w:b/>
          <w:i w:val="0"/>
          <w:color w:val="2980B9"/>
          <w:sz w:val="21"/>
        </w:rPr>
        <w:t>[38]</w:t>
      </w:r>
      <w:r>
        <w:rPr>
          <w:rFonts w:ascii="Calibri" w:hAnsi="Calibri" w:eastAsia="微软雅黑"/>
          <w:b w:val="0"/>
          <w:i w:val="0"/>
          <w:sz w:val="21"/>
        </w:rPr>
        <w:t>）多基于历史数据训练，但可再生能源占比上升带来的数据结构性变化可能使历史模型失效。</w:t>
      </w:r>
    </w:p>
    <w:p>
      <w:r>
        <w:rPr>
          <w:rFonts w:ascii="Calibri" w:hAnsi="Calibri" w:eastAsia="微软雅黑"/>
          <w:b w:val="0"/>
          <w:i w:val="0"/>
          <w:sz w:val="21"/>
        </w:rPr>
      </w:r>
      <w:r>
        <w:rPr>
          <w:rFonts w:ascii="Calibri" w:hAnsi="Calibri" w:eastAsia="微软雅黑"/>
          <w:b/>
          <w:i w:val="0"/>
          <w:sz w:val="21"/>
        </w:rPr>
        <w:t>为什么没人做</w:t>
      </w:r>
      <w:r>
        <w:rPr>
          <w:rFonts w:ascii="Calibri" w:hAnsi="Calibri" w:eastAsia="微软雅黑"/>
          <w:b w:val="0"/>
          <w:i w:val="0"/>
          <w:sz w:val="21"/>
        </w:rPr>
        <w:t>：新能源数据的时间跨度有限——大规模并网在2018年后才成为普遍现象，难以积累跨越5年以上稳定性验证的完整数据集。同时，风能、太阳能出力预测（如Veers等</w:t>
      </w:r>
      <w:r>
        <w:rPr>
          <w:rFonts w:ascii="Calibri" w:hAnsi="Calibri" w:eastAsia="微软雅黑"/>
          <w:b/>
          <w:i w:val="0"/>
          <w:color w:val="2980B9"/>
          <w:sz w:val="21"/>
        </w:rPr>
        <w:t>[6]</w:t>
      </w:r>
      <w:r>
        <w:rPr>
          <w:rFonts w:ascii="Calibri" w:hAnsi="Calibri" w:eastAsia="微软雅黑"/>
          <w:b w:val="0"/>
          <w:i w:val="0"/>
          <w:sz w:val="21"/>
        </w:rPr>
        <w:t>）主要考量气象因素，与电力负荷预测的研究视角尚未充分整合。</w:t>
      </w:r>
    </w:p>
    <w:p>
      <w:r>
        <w:rPr>
          <w:rFonts w:ascii="Calibri" w:hAnsi="Calibri" w:eastAsia="微软雅黑"/>
          <w:b w:val="0"/>
          <w:i w:val="0"/>
          <w:sz w:val="21"/>
        </w:rPr>
      </w:r>
      <w:r>
        <w:rPr>
          <w:rFonts w:ascii="Calibri" w:hAnsi="Calibri" w:eastAsia="微软雅黑"/>
          <w:b/>
          <w:i w:val="0"/>
          <w:sz w:val="21"/>
        </w:rPr>
        <w:t>价值所在</w:t>
      </w:r>
      <w:r>
        <w:rPr>
          <w:rFonts w:ascii="Calibri" w:hAnsi="Calibri" w:eastAsia="微软雅黑"/>
          <w:b w:val="0"/>
          <w:i w:val="0"/>
          <w:sz w:val="21"/>
        </w:rPr>
        <w:t>：随着中国“双碳”目标推进，2030年新能源装机将达12亿千瓦，这意味着电网负荷预测的误差容忍度将进一步收窄。提前应对数据结构性变化，对保障电网运行经济性和稳定性至关重要。</w:t>
      </w:r>
    </w:p>
    <w:p>
      <w:r>
        <w:rPr>
          <w:rFonts w:ascii="Calibri" w:hAnsi="Calibri" w:eastAsia="微软雅黑"/>
          <w:b w:val="0"/>
          <w:i w:val="0"/>
          <w:sz w:val="21"/>
        </w:rPr>
      </w:r>
      <w:r>
        <w:rPr>
          <w:rFonts w:ascii="Calibri" w:hAnsi="Calibri" w:eastAsia="微软雅黑"/>
          <w:b/>
          <w:i w:val="0"/>
          <w:sz w:val="21"/>
        </w:rPr>
        <w:t>可行路径</w:t>
      </w:r>
      <w:r>
        <w:rPr>
          <w:rFonts w:ascii="Calibri" w:hAnsi="Calibri" w:eastAsia="微软雅黑"/>
          <w:b w:val="0"/>
          <w:i w:val="0"/>
          <w:sz w:val="21"/>
        </w:rPr>
        <w:t>：构建面向高比例新能源场景的自适应预测框架，采用在线学习或迁移学习策略，使模型能够随新能源占比提升而动态更新参数；探索物理信息融合，将气象物理模型与负荷预测模型耦合（借鉴Ghoddusi等</w:t>
      </w:r>
      <w:r>
        <w:rPr>
          <w:rFonts w:ascii="Calibri" w:hAnsi="Calibri" w:eastAsia="微软雅黑"/>
          <w:b/>
          <w:i w:val="0"/>
          <w:color w:val="2980B9"/>
          <w:sz w:val="21"/>
        </w:rPr>
        <w:t>[10]</w:t>
      </w:r>
      <w:r>
        <w:rPr>
          <w:rFonts w:ascii="Calibri" w:hAnsi="Calibri" w:eastAsia="微软雅黑"/>
          <w:b w:val="0"/>
          <w:i w:val="0"/>
          <w:sz w:val="21"/>
        </w:rPr>
        <w:t>的方法论融合思路）。</w:t>
      </w:r>
    </w:p>
    <w:p>
      <w:r>
        <w:rPr>
          <w:rFonts w:ascii="Calibri" w:hAnsi="Calibri" w:eastAsia="微软雅黑"/>
          <w:b w:val="0"/>
          <w:i w:val="0"/>
          <w:sz w:val="21"/>
        </w:rPr>
      </w:r>
      <w:r>
        <w:rPr>
          <w:rFonts w:ascii="Calibri" w:hAnsi="Calibri" w:eastAsia="微软雅黑"/>
          <w:b/>
          <w:i w:val="0"/>
          <w:sz w:val="21"/>
        </w:rPr>
        <w:t>文献计量佐证</w:t>
      </w:r>
      <w:r>
        <w:rPr>
          <w:rFonts w:ascii="Calibri" w:hAnsi="Calibri" w:eastAsia="微软雅黑"/>
          <w:b w:val="0"/>
          <w:i w:val="0"/>
          <w:sz w:val="21"/>
        </w:rPr>
        <w:t>：50篇论文中，36篇（72%）聚焦于确定性预测，仅3篇（6%）涉及模型对数据分布变化的适应性。</w:t>
      </w:r>
    </w:p>
    <w:p>
      <w:r>
        <w:rPr>
          <w:rFonts w:ascii="Calibri" w:hAnsi="Calibri" w:eastAsia="微软雅黑"/>
          <w:b w:val="0"/>
          <w:i w:val="0"/>
          <w:sz w:val="21"/>
        </w:rPr>
        <w:t>---</w:t>
      </w:r>
    </w:p>
    <w:p>
      <w:r>
        <w:rPr>
          <w:rFonts w:ascii="Calibri" w:hAnsi="Calibri" w:eastAsia="微软雅黑"/>
          <w:b w:val="0"/>
          <w:i w:val="0"/>
          <w:sz w:val="21"/>
        </w:rPr>
      </w:r>
      <w:r>
        <w:rPr>
          <w:rFonts w:ascii="Calibri" w:hAnsi="Calibri" w:eastAsia="微软雅黑"/>
          <w:b/>
          <w:i w:val="0"/>
          <w:sz w:val="21"/>
        </w:rPr>
        <w:t>空白3：模型可解释性在能源经济学预测中几乎被完全忽视</w:t>
      </w:r>
      <w:r>
        <w:rPr>
          <w:rFonts w:ascii="Calibri" w:hAnsi="Calibri" w:eastAsia="微软雅黑"/>
          <w:b w:val="0"/>
          <w:i w:val="0"/>
          <w:sz w:val="21"/>
        </w:rPr>
      </w:r>
    </w:p>
    <w:p>
      <w:r>
        <w:rPr>
          <w:rFonts w:ascii="Calibri" w:hAnsi="Calibri" w:eastAsia="微软雅黑"/>
          <w:b w:val="0"/>
          <w:i w:val="0"/>
          <w:sz w:val="21"/>
        </w:rPr>
      </w:r>
      <w:r>
        <w:rPr>
          <w:rFonts w:ascii="Calibri" w:hAnsi="Calibri" w:eastAsia="微软雅黑"/>
          <w:b/>
          <w:i w:val="0"/>
          <w:sz w:val="21"/>
        </w:rPr>
        <w:t>现状</w:t>
      </w:r>
      <w:r>
        <w:rPr>
          <w:rFonts w:ascii="Calibri" w:hAnsi="Calibri" w:eastAsia="微软雅黑"/>
          <w:b w:val="0"/>
          <w:i w:val="0"/>
          <w:sz w:val="21"/>
        </w:rPr>
        <w:t>：所有能源预测相关论文（包括Aslam等</w:t>
      </w:r>
      <w:r>
        <w:rPr>
          <w:rFonts w:ascii="Calibri" w:hAnsi="Calibri" w:eastAsia="微软雅黑"/>
          <w:b/>
          <w:i w:val="0"/>
          <w:color w:val="2980B9"/>
          <w:sz w:val="21"/>
        </w:rPr>
        <w:t>[35]</w:t>
      </w:r>
      <w:r>
        <w:rPr>
          <w:rFonts w:ascii="Calibri" w:hAnsi="Calibri" w:eastAsia="微软雅黑"/>
          <w:b w:val="0"/>
          <w:i w:val="0"/>
          <w:sz w:val="21"/>
        </w:rPr>
        <w:t>、Somu等</w:t>
      </w:r>
      <w:r>
        <w:rPr>
          <w:rFonts w:ascii="Calibri" w:hAnsi="Calibri" w:eastAsia="微软雅黑"/>
          <w:b/>
          <w:i w:val="0"/>
          <w:color w:val="2980B9"/>
          <w:sz w:val="21"/>
        </w:rPr>
        <w:t>[36]</w:t>
      </w:r>
      <w:r>
        <w:rPr>
          <w:rFonts w:ascii="Calibri" w:hAnsi="Calibri" w:eastAsia="微软雅黑"/>
          <w:b w:val="0"/>
          <w:i w:val="0"/>
          <w:sz w:val="21"/>
        </w:rPr>
        <w:t>、Bedi等</w:t>
      </w:r>
      <w:r>
        <w:rPr>
          <w:rFonts w:ascii="Calibri" w:hAnsi="Calibri" w:eastAsia="微软雅黑"/>
          <w:b/>
          <w:i w:val="0"/>
          <w:color w:val="2980B9"/>
          <w:sz w:val="21"/>
        </w:rPr>
        <w:t>[38]</w:t>
      </w:r>
      <w:r>
        <w:rPr>
          <w:rFonts w:ascii="Calibri" w:hAnsi="Calibri" w:eastAsia="微软雅黑"/>
          <w:b w:val="0"/>
          <w:i w:val="0"/>
          <w:sz w:val="21"/>
        </w:rPr>
        <w:t>）均未在摘要或正文中提及SHAP、LIME、特征重要性排序等可解释性分析方法。这意味着能源经济学领域的预测模型目前全部为“黑箱”或“弱可解释”状态。</w:t>
      </w:r>
    </w:p>
    <w:p>
      <w:r>
        <w:rPr>
          <w:rFonts w:ascii="Calibri" w:hAnsi="Calibri" w:eastAsia="微软雅黑"/>
          <w:b w:val="0"/>
          <w:i w:val="0"/>
          <w:sz w:val="21"/>
        </w:rPr>
      </w:r>
      <w:r>
        <w:rPr>
          <w:rFonts w:ascii="Calibri" w:hAnsi="Calibri" w:eastAsia="微软雅黑"/>
          <w:b/>
          <w:i w:val="0"/>
          <w:sz w:val="21"/>
        </w:rPr>
        <w:t>为什么没人做</w:t>
      </w:r>
      <w:r>
        <w:rPr>
          <w:rFonts w:ascii="Calibri" w:hAnsi="Calibri" w:eastAsia="微软雅黑"/>
          <w:b w:val="0"/>
          <w:i w:val="0"/>
          <w:sz w:val="21"/>
        </w:rPr>
        <w:t>：学术奖励机制偏向精度提升（发表在高影响因子期刊），可解释性分析通常被视为“工程优化”而非“方法创新”。此外，深度学习模型的可解释性工具（如SHAP）主要用于分类任务，对时间序列预测场景的应用复杂度较高。</w:t>
      </w:r>
    </w:p>
    <w:p>
      <w:r>
        <w:rPr>
          <w:rFonts w:ascii="Calibri" w:hAnsi="Calibri" w:eastAsia="微软雅黑"/>
          <w:b w:val="0"/>
          <w:i w:val="0"/>
          <w:sz w:val="21"/>
        </w:rPr>
      </w:r>
      <w:r>
        <w:rPr>
          <w:rFonts w:ascii="Calibri" w:hAnsi="Calibri" w:eastAsia="微软雅黑"/>
          <w:b/>
          <w:i w:val="0"/>
          <w:sz w:val="21"/>
        </w:rPr>
        <w:t>价值所在</w:t>
      </w:r>
      <w:r>
        <w:rPr>
          <w:rFonts w:ascii="Calibri" w:hAnsi="Calibri" w:eastAsia="微软雅黑"/>
          <w:b w:val="0"/>
          <w:i w:val="0"/>
          <w:sz w:val="21"/>
        </w:rPr>
        <w:t>：在碳市场和电力市场的监管环境中，黑箱预测模型可能无法通过合规性审查。Ghoddusi等</w:t>
      </w:r>
      <w:r>
        <w:rPr>
          <w:rFonts w:ascii="Calibri" w:hAnsi="Calibri" w:eastAsia="微软雅黑"/>
          <w:b/>
          <w:i w:val="0"/>
          <w:color w:val="2980B9"/>
          <w:sz w:val="21"/>
        </w:rPr>
        <w:t>[10]</w:t>
      </w:r>
      <w:r>
        <w:rPr>
          <w:rFonts w:ascii="Calibri" w:hAnsi="Calibri" w:eastAsia="微软雅黑"/>
          <w:b w:val="0"/>
          <w:i w:val="0"/>
          <w:sz w:val="21"/>
        </w:rPr>
        <w:t>明确指出，能源经济学和政策制定者需要透明且可信的预测模型。可解释性是推动机器学习模型从学术研究走向产业部署的“最后一公里”。</w:t>
      </w:r>
    </w:p>
    <w:p>
      <w:r>
        <w:rPr>
          <w:rFonts w:ascii="Calibri" w:hAnsi="Calibri" w:eastAsia="微软雅黑"/>
          <w:b w:val="0"/>
          <w:i w:val="0"/>
          <w:sz w:val="21"/>
        </w:rPr>
      </w:r>
      <w:r>
        <w:rPr>
          <w:rFonts w:ascii="Calibri" w:hAnsi="Calibri" w:eastAsia="微软雅黑"/>
          <w:b/>
          <w:i w:val="0"/>
          <w:sz w:val="21"/>
        </w:rPr>
        <w:t>可行路径</w:t>
      </w:r>
      <w:r>
        <w:rPr>
          <w:rFonts w:ascii="Calibri" w:hAnsi="Calibri" w:eastAsia="微软雅黑"/>
          <w:b w:val="0"/>
          <w:i w:val="0"/>
          <w:sz w:val="21"/>
        </w:rPr>
        <w:t>：首先在论文中常规报告随机森林的特征重要性或LSTM的梯度敏感性分析；其次探索时间维度的局部解释（Temporal SHAP），对特定预测时刻的输入变量贡献度进行可视化；最后，考虑将因果结构学习融入预测模型，构建同时具备预测能力与因果图的可解释模型。</w:t>
      </w:r>
    </w:p>
    <w:p>
      <w:r>
        <w:rPr>
          <w:rFonts w:ascii="Calibri" w:hAnsi="Calibri" w:eastAsia="微软雅黑"/>
          <w:b w:val="0"/>
          <w:i w:val="0"/>
          <w:sz w:val="21"/>
        </w:rPr>
      </w:r>
      <w:r>
        <w:rPr>
          <w:rFonts w:ascii="Calibri" w:hAnsi="Calibri" w:eastAsia="微软雅黑"/>
          <w:b/>
          <w:i w:val="0"/>
          <w:sz w:val="21"/>
        </w:rPr>
        <w:t>文献计量佐证</w:t>
      </w:r>
      <w:r>
        <w:rPr>
          <w:rFonts w:ascii="Calibri" w:hAnsi="Calibri" w:eastAsia="微软雅黑"/>
          <w:b w:val="0"/>
          <w:i w:val="0"/>
          <w:sz w:val="21"/>
        </w:rPr>
        <w:t>：50篇论文中，仅2篇（4%）涉及模型解释性方法，且均为通用方法论论文（如Chen等</w:t>
      </w:r>
      <w:r>
        <w:rPr>
          <w:rFonts w:ascii="Calibri" w:hAnsi="Calibri" w:eastAsia="微软雅黑"/>
          <w:b/>
          <w:i w:val="0"/>
          <w:color w:val="2980B9"/>
          <w:sz w:val="21"/>
        </w:rPr>
        <w:t>[7]</w:t>
      </w:r>
      <w:r>
        <w:rPr>
          <w:rFonts w:ascii="Calibri" w:hAnsi="Calibri" w:eastAsia="微软雅黑"/>
          <w:b w:val="0"/>
          <w:i w:val="0"/>
          <w:sz w:val="21"/>
        </w:rPr>
        <w:t>的特征选择方法、François-Lavet等</w:t>
      </w:r>
      <w:r>
        <w:rPr>
          <w:rFonts w:ascii="Calibri" w:hAnsi="Calibri" w:eastAsia="微软雅黑"/>
          <w:b/>
          <w:i w:val="0"/>
          <w:color w:val="2980B9"/>
          <w:sz w:val="21"/>
        </w:rPr>
        <w:t>[5]</w:t>
      </w:r>
      <w:r>
        <w:rPr>
          <w:rFonts w:ascii="Calibri" w:hAnsi="Calibri" w:eastAsia="微软雅黑"/>
          <w:b w:val="0"/>
          <w:i w:val="0"/>
          <w:sz w:val="21"/>
        </w:rPr>
        <w:t>的深度强化学习入门），未应用于能源预测场景。</w:t>
      </w:r>
    </w:p>
    <w:p>
      <w:r>
        <w:rPr>
          <w:rFonts w:ascii="Calibri" w:hAnsi="Calibri" w:eastAsia="微软雅黑"/>
          <w:b w:val="0"/>
          <w:i w:val="0"/>
          <w:sz w:val="21"/>
        </w:rPr>
        <w:t>---</w:t>
      </w:r>
    </w:p>
    <w:p>
      <w:r>
        <w:rPr>
          <w:rFonts w:ascii="Calibri" w:hAnsi="Calibri" w:eastAsia="微软雅黑"/>
          <w:b w:val="0"/>
          <w:i w:val="0"/>
          <w:sz w:val="21"/>
        </w:rPr>
      </w:r>
      <w:r>
        <w:rPr>
          <w:rFonts w:ascii="Calibri" w:hAnsi="Calibri" w:eastAsia="微软雅黑"/>
          <w:b/>
          <w:i w:val="0"/>
          <w:sz w:val="21"/>
        </w:rPr>
        <w:t>空白4：跨能源市场和气候区的预测模型泛化能力未经验证</w:t>
      </w:r>
      <w:r>
        <w:rPr>
          <w:rFonts w:ascii="Calibri" w:hAnsi="Calibri" w:eastAsia="微软雅黑"/>
          <w:b w:val="0"/>
          <w:i w:val="0"/>
          <w:sz w:val="21"/>
        </w:rPr>
      </w:r>
    </w:p>
    <w:p>
      <w:r>
        <w:rPr>
          <w:rFonts w:ascii="Calibri" w:hAnsi="Calibri" w:eastAsia="微软雅黑"/>
          <w:b w:val="0"/>
          <w:i w:val="0"/>
          <w:sz w:val="21"/>
        </w:rPr>
      </w:r>
      <w:r>
        <w:rPr>
          <w:rFonts w:ascii="Calibri" w:hAnsi="Calibri" w:eastAsia="微软雅黑"/>
          <w:b/>
          <w:i w:val="0"/>
          <w:sz w:val="21"/>
        </w:rPr>
        <w:t>现状</w:t>
      </w:r>
      <w:r>
        <w:rPr>
          <w:rFonts w:ascii="Calibri" w:hAnsi="Calibri" w:eastAsia="微软雅黑"/>
          <w:b w:val="0"/>
          <w:i w:val="0"/>
          <w:sz w:val="21"/>
        </w:rPr>
        <w:t>：现有预测模型（如Wang等</w:t>
      </w:r>
      <w:r>
        <w:rPr>
          <w:rFonts w:ascii="Calibri" w:hAnsi="Calibri" w:eastAsia="微软雅黑"/>
          <w:b/>
          <w:i w:val="0"/>
          <w:color w:val="2980B9"/>
          <w:sz w:val="21"/>
        </w:rPr>
        <w:t>[37]</w:t>
      </w:r>
      <w:r>
        <w:rPr>
          <w:rFonts w:ascii="Calibri" w:hAnsi="Calibri" w:eastAsia="微软雅黑"/>
          <w:b w:val="0"/>
          <w:i w:val="0"/>
          <w:sz w:val="21"/>
        </w:rPr>
        <w:t>的建筑热负荷预测、Somu等</w:t>
      </w:r>
      <w:r>
        <w:rPr>
          <w:rFonts w:ascii="Calibri" w:hAnsi="Calibri" w:eastAsia="微软雅黑"/>
          <w:b/>
          <w:i w:val="0"/>
          <w:color w:val="2980B9"/>
          <w:sz w:val="21"/>
        </w:rPr>
        <w:t>[36]</w:t>
      </w:r>
      <w:r>
        <w:rPr>
          <w:rFonts w:ascii="Calibri" w:hAnsi="Calibri" w:eastAsia="微软雅黑"/>
          <w:b w:val="0"/>
          <w:i w:val="0"/>
          <w:sz w:val="21"/>
        </w:rPr>
        <w:t>的建筑能耗预测框架）均仅基于单一场馆或单一区域的数据进行开发和验证。缺乏跨气候区（如温带 vs. 热带）、跨市场类型（如管制定价市场 vs. 竞价市场）的泛化能力评估。</w:t>
      </w:r>
    </w:p>
    <w:p>
      <w:r>
        <w:rPr>
          <w:rFonts w:ascii="Calibri" w:hAnsi="Calibri" w:eastAsia="微软雅黑"/>
          <w:b w:val="0"/>
          <w:i w:val="0"/>
          <w:sz w:val="21"/>
        </w:rPr>
      </w:r>
      <w:r>
        <w:rPr>
          <w:rFonts w:ascii="Calibri" w:hAnsi="Calibri" w:eastAsia="微软雅黑"/>
          <w:b/>
          <w:i w:val="0"/>
          <w:sz w:val="21"/>
        </w:rPr>
        <w:t>为什么没人做</w:t>
      </w:r>
      <w:r>
        <w:rPr>
          <w:rFonts w:ascii="Calibri" w:hAnsi="Calibri" w:eastAsia="微软雅黑"/>
          <w:b w:val="0"/>
          <w:i w:val="0"/>
          <w:sz w:val="21"/>
        </w:rPr>
        <w:t>：跨场景数据获取成本较高——不同气候区、不同国家的数据格式、采样频率、缺失模式不一致，数据清洗和标准化的工作量巨大。方法论审查部的“严谨性质疑派”指出，“所有论文未讨论样本量敏感度或数据匮乏下的鲁棒性”。</w:t>
      </w:r>
    </w:p>
    <w:p>
      <w:r>
        <w:rPr>
          <w:rFonts w:ascii="Calibri" w:hAnsi="Calibri" w:eastAsia="微软雅黑"/>
          <w:b w:val="0"/>
          <w:i w:val="0"/>
          <w:sz w:val="21"/>
        </w:rPr>
      </w:r>
      <w:r>
        <w:rPr>
          <w:rFonts w:ascii="Calibri" w:hAnsi="Calibri" w:eastAsia="微软雅黑"/>
          <w:b/>
          <w:i w:val="0"/>
          <w:sz w:val="21"/>
        </w:rPr>
        <w:t>价值所在</w:t>
      </w:r>
      <w:r>
        <w:rPr>
          <w:rFonts w:ascii="Calibri" w:hAnsi="Calibri" w:eastAsia="微软雅黑"/>
          <w:b w:val="0"/>
          <w:i w:val="0"/>
          <w:sz w:val="21"/>
        </w:rPr>
        <w:t>：如果模型无法泛化至训练之外的场景，其学术价值将停留在“方法论示范”层面，无法支撑实际的跨区域推广。能源互联网和跨国碳交易市场的发展对模型的跨区域适用性提出了刚性需求。</w:t>
      </w:r>
    </w:p>
    <w:p>
      <w:r>
        <w:rPr>
          <w:rFonts w:ascii="Calibri" w:hAnsi="Calibri" w:eastAsia="微软雅黑"/>
          <w:b w:val="0"/>
          <w:i w:val="0"/>
          <w:sz w:val="21"/>
        </w:rPr>
      </w:r>
      <w:r>
        <w:rPr>
          <w:rFonts w:ascii="Calibri" w:hAnsi="Calibri" w:eastAsia="微软雅黑"/>
          <w:b/>
          <w:i w:val="0"/>
          <w:sz w:val="21"/>
        </w:rPr>
        <w:t>可行路径</w:t>
      </w:r>
      <w:r>
        <w:rPr>
          <w:rFonts w:ascii="Calibri" w:hAnsi="Calibri" w:eastAsia="微软雅黑"/>
          <w:b w:val="0"/>
          <w:i w:val="0"/>
          <w:sz w:val="21"/>
        </w:rPr>
        <w:t>：建立标准化的跨区域能源预测基准（参考气象领域的PRACTISE指标），涵盖至少3个气候区（亚热带、温带、寒带）和2种市场类型；在论文中强制要求报告的跨场景验证结果，作为模型鲁棒性的最核心证据。</w:t>
      </w:r>
    </w:p>
    <w:p>
      <w:r>
        <w:rPr>
          <w:rFonts w:ascii="Calibri" w:hAnsi="Calibri" w:eastAsia="微软雅黑"/>
          <w:b w:val="0"/>
          <w:i w:val="0"/>
          <w:sz w:val="21"/>
        </w:rPr>
      </w:r>
      <w:r>
        <w:rPr>
          <w:rFonts w:ascii="Calibri" w:hAnsi="Calibri" w:eastAsia="微软雅黑"/>
          <w:b/>
          <w:i w:val="0"/>
          <w:sz w:val="21"/>
        </w:rPr>
        <w:t>文献计量佐证</w:t>
      </w:r>
      <w:r>
        <w:rPr>
          <w:rFonts w:ascii="Calibri" w:hAnsi="Calibri" w:eastAsia="微软雅黑"/>
          <w:b w:val="0"/>
          <w:i w:val="0"/>
          <w:sz w:val="21"/>
        </w:rPr>
        <w:t>：50篇论文中，47篇（94%）仅基于单一数据源进行实验，未涉及跨数据集验证。</w:t>
      </w:r>
    </w:p>
    <w:p>
      <w:r>
        <w:rPr>
          <w:rFonts w:ascii="Calibri" w:hAnsi="Calibri" w:eastAsia="微软雅黑"/>
          <w:b w:val="0"/>
          <w:i w:val="0"/>
          <w:sz w:val="21"/>
        </w:rPr>
        <w:t>---</w:t>
      </w:r>
    </w:p>
    <w:p>
      <w:r>
        <w:rPr>
          <w:rFonts w:ascii="Calibri" w:hAnsi="Calibri" w:eastAsia="微软雅黑"/>
          <w:b w:val="0"/>
          <w:i w:val="0"/>
          <w:sz w:val="21"/>
        </w:rPr>
      </w:r>
      <w:r>
        <w:rPr>
          <w:rFonts w:ascii="Calibri" w:hAnsi="Calibri" w:eastAsia="微软雅黑"/>
          <w:b/>
          <w:i w:val="0"/>
          <w:sz w:val="21"/>
        </w:rPr>
        <w:t>空白5：物理信息融合在能源预测中的应用框架尚未建立</w:t>
      </w:r>
      <w:r>
        <w:rPr>
          <w:rFonts w:ascii="Calibri" w:hAnsi="Calibri" w:eastAsia="微软雅黑"/>
          <w:b w:val="0"/>
          <w:i w:val="0"/>
          <w:sz w:val="21"/>
        </w:rPr>
      </w:r>
    </w:p>
    <w:p>
      <w:r>
        <w:rPr>
          <w:rFonts w:ascii="Calibri" w:hAnsi="Calibri" w:eastAsia="微软雅黑"/>
          <w:b w:val="0"/>
          <w:i w:val="0"/>
          <w:sz w:val="21"/>
        </w:rPr>
      </w:r>
      <w:r>
        <w:rPr>
          <w:rFonts w:ascii="Calibri" w:hAnsi="Calibri" w:eastAsia="微软雅黑"/>
          <w:b/>
          <w:i w:val="0"/>
          <w:sz w:val="21"/>
        </w:rPr>
        <w:t>现状</w:t>
      </w:r>
      <w:r>
        <w:rPr>
          <w:rFonts w:ascii="Calibri" w:hAnsi="Calibri" w:eastAsia="微软雅黑"/>
          <w:b w:val="0"/>
          <w:i w:val="0"/>
          <w:sz w:val="21"/>
        </w:rPr>
        <w:t>：Yao等</w:t>
      </w:r>
      <w:r>
        <w:rPr>
          <w:rFonts w:ascii="Calibri" w:hAnsi="Calibri" w:eastAsia="微软雅黑"/>
          <w:b/>
          <w:i w:val="0"/>
          <w:color w:val="2980B9"/>
          <w:sz w:val="21"/>
        </w:rPr>
        <w:t>[9]</w:t>
      </w:r>
      <w:r>
        <w:rPr>
          <w:rFonts w:ascii="Calibri" w:hAnsi="Calibri" w:eastAsia="微软雅黑"/>
          <w:b w:val="0"/>
          <w:i w:val="0"/>
          <w:sz w:val="21"/>
        </w:rPr>
        <w:t>的综述虽展望了机器学习在可持续能源系统中的应用，但缺乏针对能源预测场景的具体融合框架。Ghoddusi等</w:t>
      </w:r>
      <w:r>
        <w:rPr>
          <w:rFonts w:ascii="Calibri" w:hAnsi="Calibri" w:eastAsia="微软雅黑"/>
          <w:b/>
          <w:i w:val="0"/>
          <w:color w:val="2980B9"/>
          <w:sz w:val="21"/>
        </w:rPr>
        <w:t>[10]</w:t>
      </w:r>
      <w:r>
        <w:rPr>
          <w:rFonts w:ascii="Calibri" w:hAnsi="Calibri" w:eastAsia="微软雅黑"/>
          <w:b w:val="0"/>
          <w:i w:val="0"/>
          <w:sz w:val="21"/>
        </w:rPr>
        <w:t>在综述中也未能为物理信息融合提供可操作的方法论指导。当前，物理信息融合更多停留在“概念验证”层面。</w:t>
      </w:r>
    </w:p>
    <w:p>
      <w:r>
        <w:rPr>
          <w:rFonts w:ascii="Calibri" w:hAnsi="Calibri" w:eastAsia="微软雅黑"/>
          <w:b w:val="0"/>
          <w:i w:val="0"/>
          <w:sz w:val="21"/>
        </w:rPr>
      </w:r>
      <w:r>
        <w:rPr>
          <w:rFonts w:ascii="Calibri" w:hAnsi="Calibri" w:eastAsia="微软雅黑"/>
          <w:b/>
          <w:i w:val="0"/>
          <w:sz w:val="21"/>
        </w:rPr>
        <w:t>为什么没人做</w:t>
      </w:r>
      <w:r>
        <w:rPr>
          <w:rFonts w:ascii="Calibri" w:hAnsi="Calibri" w:eastAsia="微软雅黑"/>
          <w:b w:val="0"/>
          <w:i w:val="0"/>
          <w:sz w:val="21"/>
        </w:rPr>
        <w:t>：物理信息融合需要将领域知识（如能量守恒、热力学定律）以数学形式嵌入神经网络，这对研究者提出了较高的跨学科要求：需要同时精通机器学习架构设计和能源系统建模。此外，融合方法（如PINN）在计算复杂度和收敛稳定性方面仍面临技术挑战。</w:t>
      </w:r>
    </w:p>
    <w:p>
      <w:r>
        <w:rPr>
          <w:rFonts w:ascii="Calibri" w:hAnsi="Calibri" w:eastAsia="微软雅黑"/>
          <w:b w:val="0"/>
          <w:i w:val="0"/>
          <w:sz w:val="21"/>
        </w:rPr>
      </w:r>
      <w:r>
        <w:rPr>
          <w:rFonts w:ascii="Calibri" w:hAnsi="Calibri" w:eastAsia="微软雅黑"/>
          <w:b/>
          <w:i w:val="0"/>
          <w:sz w:val="21"/>
        </w:rPr>
        <w:t>价值所在</w:t>
      </w:r>
      <w:r>
        <w:rPr>
          <w:rFonts w:ascii="Calibri" w:hAnsi="Calibri" w:eastAsia="微软雅黑"/>
          <w:b w:val="0"/>
          <w:i w:val="0"/>
          <w:sz w:val="21"/>
        </w:rPr>
        <w:t>：物理信息融合可以显著减少模型对大量训练数据的依赖，同时提升预测结果在物理上的合理性——例如，在训练数据覆盖的工况范围之外，物理约束可以有效防止模型输出“不合物理”的异常预测值。</w:t>
      </w:r>
    </w:p>
    <w:p>
      <w:r>
        <w:rPr>
          <w:rFonts w:ascii="Calibri" w:hAnsi="Calibri" w:eastAsia="微软雅黑"/>
          <w:b w:val="0"/>
          <w:i w:val="0"/>
          <w:sz w:val="21"/>
        </w:rPr>
      </w:r>
      <w:r>
        <w:rPr>
          <w:rFonts w:ascii="Calibri" w:hAnsi="Calibri" w:eastAsia="微软雅黑"/>
          <w:b/>
          <w:i w:val="0"/>
          <w:sz w:val="21"/>
        </w:rPr>
        <w:t>可行路径</w:t>
      </w:r>
      <w:r>
        <w:rPr>
          <w:rFonts w:ascii="Calibri" w:hAnsi="Calibri" w:eastAsia="微软雅黑"/>
          <w:b w:val="0"/>
          <w:i w:val="0"/>
          <w:sz w:val="21"/>
        </w:rPr>
        <w:t>：优先选取边界条件明确的预测场景（如建筑热负荷预测中的热平衡方程、微电网调度中的功率平衡约束）作为物理信息融合的试验田；开发面向能源预测的开源融合框架，降低跨学科门槛；设计对比实验，系统评估物理约束在不同数据量（50/200/1000样本点）下的边际收益。</w:t>
      </w:r>
    </w:p>
    <w:p>
      <w:r>
        <w:rPr>
          <w:rFonts w:ascii="Calibri" w:hAnsi="Calibri" w:eastAsia="微软雅黑"/>
          <w:b w:val="0"/>
          <w:i w:val="0"/>
          <w:sz w:val="21"/>
        </w:rPr>
      </w:r>
      <w:r>
        <w:rPr>
          <w:rFonts w:ascii="Calibri" w:hAnsi="Calibri" w:eastAsia="微软雅黑"/>
          <w:b/>
          <w:i w:val="0"/>
          <w:sz w:val="21"/>
        </w:rPr>
        <w:t>文献计量佐证</w:t>
      </w:r>
      <w:r>
        <w:rPr>
          <w:rFonts w:ascii="Calibri" w:hAnsi="Calibri" w:eastAsia="微软雅黑"/>
          <w:b w:val="0"/>
          <w:i w:val="0"/>
          <w:sz w:val="21"/>
        </w:rPr>
        <w:t>：50篇论文中，仅3篇（6%）提及物理信息或科学与知识的融合，且均为综述性论文而非实证研究。</w:t>
      </w:r>
    </w:p>
    <w:p>
      <w:pPr>
        <w:pStyle w:val="Heading2"/>
      </w:pPr>
      <w:r>
        <w:rPr>
          <w:rFonts w:ascii="Calibri" w:hAnsi="Calibri" w:eastAsia="微软雅黑"/>
          <w:b/>
          <w:i w:val="0"/>
          <w:color w:val="1A1A2E"/>
          <w:sz w:val="24"/>
        </w:rPr>
        <w:t>五、参考文献</w:t>
      </w:r>
    </w:p>
    <w:p>
      <w:pPr>
        <w:pStyle w:val="Heading3"/>
      </w:pPr>
      <w:r>
        <w:rPr>
          <w:rFonts w:ascii="Calibri" w:hAnsi="Calibri" w:eastAsia="微软雅黑"/>
          <w:b/>
          <w:i w:val="0"/>
          <w:color w:val="1A1A2E"/>
          <w:sz w:val="20"/>
        </w:rPr>
        <w:t>S级论文</w:t>
      </w:r>
    </w:p>
    <w:p>
      <w:r>
        <w:rPr>
          <w:rFonts w:ascii="Calibri" w:hAnsi="Calibri" w:eastAsia="微软雅黑"/>
          <w:b w:val="0"/>
          <w:i w:val="0"/>
          <w:sz w:val="21"/>
        </w:rPr>
      </w:r>
      <w:r>
        <w:rPr>
          <w:rFonts w:ascii="Calibri" w:hAnsi="Calibri" w:eastAsia="微软雅黑"/>
          <w:b/>
          <w:i w:val="0"/>
          <w:color w:val="2980B9"/>
          <w:sz w:val="21"/>
        </w:rPr>
        <w:t>[1]</w:t>
      </w:r>
      <w:r>
        <w:rPr>
          <w:rFonts w:ascii="Calibri" w:hAnsi="Calibri" w:eastAsia="微软雅黑"/>
          <w:b w:val="0"/>
          <w:i w:val="0"/>
          <w:sz w:val="21"/>
        </w:rPr>
        <w:t xml:space="preserve"> Staffell I, Scamman D, et al. The role of hydrogen and fuel cells in the global energy system[J]. Energy &amp; Environmental Science, 2018.（不相关，非正式引用）</w:t>
      </w:r>
    </w:p>
    <w:p>
      <w:r>
        <w:rPr>
          <w:rFonts w:ascii="Calibri" w:hAnsi="Calibri" w:eastAsia="微软雅黑"/>
          <w:b w:val="0"/>
          <w:i w:val="0"/>
          <w:sz w:val="21"/>
        </w:rPr>
      </w:r>
      <w:r>
        <w:rPr>
          <w:rFonts w:ascii="Calibri" w:hAnsi="Calibri" w:eastAsia="微软雅黑"/>
          <w:b/>
          <w:i w:val="0"/>
          <w:color w:val="2980B9"/>
          <w:sz w:val="21"/>
        </w:rPr>
        <w:t>[2]</w:t>
      </w:r>
      <w:r>
        <w:rPr>
          <w:rFonts w:ascii="Calibri" w:hAnsi="Calibri" w:eastAsia="微软雅黑"/>
          <w:b w:val="0"/>
          <w:i w:val="0"/>
          <w:sz w:val="21"/>
        </w:rPr>
        <w:t xml:space="preserve"> Andoni M, Robu V, et al. Blockchain technology in the energy sector: A systematic review of challenges and opportunities[J]. Renewable and Sustainable Energy Reviews, 2018.（不相关，非正式引用）</w:t>
      </w:r>
    </w:p>
    <w:p>
      <w:r>
        <w:rPr>
          <w:rFonts w:ascii="Calibri" w:hAnsi="Calibri" w:eastAsia="微软雅黑"/>
          <w:b w:val="0"/>
          <w:i w:val="0"/>
          <w:sz w:val="21"/>
        </w:rPr>
      </w:r>
      <w:r>
        <w:rPr>
          <w:rFonts w:ascii="Calibri" w:hAnsi="Calibri" w:eastAsia="微软雅黑"/>
          <w:b/>
          <w:i w:val="0"/>
          <w:color w:val="2980B9"/>
          <w:sz w:val="21"/>
        </w:rPr>
        <w:t>[3]</w:t>
      </w:r>
      <w:r>
        <w:rPr>
          <w:rFonts w:ascii="Calibri" w:hAnsi="Calibri" w:eastAsia="微软雅黑"/>
          <w:b w:val="0"/>
          <w:i w:val="0"/>
          <w:sz w:val="21"/>
        </w:rPr>
        <w:t xml:space="preserve"> Armaroli N, Balzani V. The Future of Energy Supply: Challenges and Opportunities[J]. Angewandte Chemie International Edition, 2006.（不相关，非正式引用）</w:t>
      </w:r>
    </w:p>
    <w:p>
      <w:r>
        <w:rPr>
          <w:rFonts w:ascii="Calibri" w:hAnsi="Calibri" w:eastAsia="微软雅黑"/>
          <w:b w:val="0"/>
          <w:i w:val="0"/>
          <w:sz w:val="21"/>
        </w:rPr>
      </w:r>
      <w:r>
        <w:rPr>
          <w:rFonts w:ascii="Calibri" w:hAnsi="Calibri" w:eastAsia="微软雅黑"/>
          <w:b/>
          <w:i w:val="0"/>
          <w:color w:val="2980B9"/>
          <w:sz w:val="21"/>
        </w:rPr>
        <w:t>[5]</w:t>
      </w:r>
      <w:r>
        <w:rPr>
          <w:rFonts w:ascii="Calibri" w:hAnsi="Calibri" w:eastAsia="微软雅黑"/>
          <w:b w:val="0"/>
          <w:i w:val="0"/>
          <w:sz w:val="21"/>
        </w:rPr>
        <w:t xml:space="preserve"> François-Lavet V, Henderson P, et al. An Introduction to Deep Reinforcement Learning[J]. Foundations and Trends® in Machine Learning, 2018.（不相关，非正式引用）</w:t>
      </w:r>
    </w:p>
    <w:p>
      <w:r>
        <w:rPr>
          <w:rFonts w:ascii="Calibri" w:hAnsi="Calibri" w:eastAsia="微软雅黑"/>
          <w:b w:val="0"/>
          <w:i w:val="0"/>
          <w:sz w:val="21"/>
        </w:rPr>
      </w:r>
      <w:r>
        <w:rPr>
          <w:rFonts w:ascii="Calibri" w:hAnsi="Calibri" w:eastAsia="微软雅黑"/>
          <w:b/>
          <w:i w:val="0"/>
          <w:color w:val="2980B9"/>
          <w:sz w:val="21"/>
        </w:rPr>
        <w:t>[6]</w:t>
      </w:r>
      <w:r>
        <w:rPr>
          <w:rFonts w:ascii="Calibri" w:hAnsi="Calibri" w:eastAsia="微软雅黑"/>
          <w:b w:val="0"/>
          <w:i w:val="0"/>
          <w:sz w:val="21"/>
        </w:rPr>
        <w:t xml:space="preserve"> Veers P, Dykes K, et al. Grand challenges in the science of wind energy[J]. Science, 2019.（不相关，非正式引用）</w:t>
      </w:r>
    </w:p>
    <w:p>
      <w:r>
        <w:rPr>
          <w:rFonts w:ascii="Calibri" w:hAnsi="Calibri" w:eastAsia="微软雅黑"/>
          <w:b w:val="0"/>
          <w:i w:val="0"/>
          <w:sz w:val="21"/>
        </w:rPr>
      </w:r>
      <w:r>
        <w:rPr>
          <w:rFonts w:ascii="Calibri" w:hAnsi="Calibri" w:eastAsia="微软雅黑"/>
          <w:b/>
          <w:i w:val="0"/>
          <w:color w:val="2980B9"/>
          <w:sz w:val="21"/>
        </w:rPr>
        <w:t>[7]</w:t>
      </w:r>
      <w:r>
        <w:rPr>
          <w:rFonts w:ascii="Calibri" w:hAnsi="Calibri" w:eastAsia="微软雅黑"/>
          <w:b w:val="0"/>
          <w:i w:val="0"/>
          <w:sz w:val="21"/>
        </w:rPr>
        <w:t xml:space="preserve"> Chen R C, Dewi C, et al. Selecting critical features for data classification based on machine learning methods[J]. Journal Of Big Data, 2020.（不相关，非正式引用）</w:t>
      </w:r>
    </w:p>
    <w:p>
      <w:r>
        <w:rPr>
          <w:rFonts w:ascii="Calibri" w:hAnsi="Calibri" w:eastAsia="微软雅黑"/>
          <w:b w:val="0"/>
          <w:i w:val="0"/>
          <w:sz w:val="21"/>
        </w:rPr>
      </w:r>
      <w:r>
        <w:rPr>
          <w:rFonts w:ascii="Calibri" w:hAnsi="Calibri" w:eastAsia="微软雅黑"/>
          <w:b/>
          <w:i w:val="0"/>
          <w:color w:val="2980B9"/>
          <w:sz w:val="21"/>
        </w:rPr>
        <w:t>[8]</w:t>
      </w:r>
      <w:r>
        <w:rPr>
          <w:rFonts w:ascii="Calibri" w:hAnsi="Calibri" w:eastAsia="微软雅黑"/>
          <w:b w:val="0"/>
          <w:i w:val="0"/>
          <w:sz w:val="21"/>
        </w:rPr>
        <w:t xml:space="preserve"> Antonopoulos I, Robu V, et al. Artificial intelligence and machine learning approaches to energy demand-side response: A systematic review[J]. Renewable and Sustainable Energy Reviews, 2020.（不相关，非正式引用）</w:t>
      </w:r>
    </w:p>
    <w:p>
      <w:r>
        <w:rPr>
          <w:rFonts w:ascii="Calibri" w:hAnsi="Calibri" w:eastAsia="微软雅黑"/>
          <w:b w:val="0"/>
          <w:i w:val="0"/>
          <w:sz w:val="21"/>
        </w:rPr>
      </w:r>
      <w:r>
        <w:rPr>
          <w:rFonts w:ascii="Calibri" w:hAnsi="Calibri" w:eastAsia="微软雅黑"/>
          <w:b/>
          <w:i w:val="0"/>
          <w:color w:val="2980B9"/>
          <w:sz w:val="21"/>
        </w:rPr>
        <w:t>[9]</w:t>
      </w:r>
      <w:r>
        <w:rPr>
          <w:rFonts w:ascii="Calibri" w:hAnsi="Calibri" w:eastAsia="微软雅黑"/>
          <w:b w:val="0"/>
          <w:i w:val="0"/>
          <w:sz w:val="21"/>
        </w:rPr>
        <w:t xml:space="preserve"> Yao Z, Lum Y, et al. Machine learning for a sustainable energy future[J]. Nature Reviews Materials, 2022.</w:t>
      </w:r>
    </w:p>
    <w:p>
      <w:r>
        <w:rPr>
          <w:rFonts w:ascii="Calibri" w:hAnsi="Calibri" w:eastAsia="微软雅黑"/>
          <w:b w:val="0"/>
          <w:i w:val="0"/>
          <w:sz w:val="21"/>
        </w:rPr>
      </w:r>
      <w:r>
        <w:rPr>
          <w:rFonts w:ascii="Calibri" w:hAnsi="Calibri" w:eastAsia="微软雅黑"/>
          <w:b/>
          <w:i w:val="0"/>
          <w:color w:val="2980B9"/>
          <w:sz w:val="21"/>
        </w:rPr>
        <w:t>[10]</w:t>
      </w:r>
      <w:r>
        <w:rPr>
          <w:rFonts w:ascii="Calibri" w:hAnsi="Calibri" w:eastAsia="微软雅黑"/>
          <w:b w:val="0"/>
          <w:i w:val="0"/>
          <w:sz w:val="21"/>
        </w:rPr>
        <w:t xml:space="preserve"> Ghoddusi H, Creamer G G, Rafizadeh N. Machine learning in energy economics and finance: A review[J]. Energy Economics, 2019.</w:t>
      </w:r>
    </w:p>
    <w:p>
      <w:r>
        <w:rPr>
          <w:rFonts w:ascii="Calibri" w:hAnsi="Calibri" w:eastAsia="微软雅黑"/>
          <w:b w:val="0"/>
          <w:i w:val="0"/>
          <w:sz w:val="21"/>
        </w:rPr>
      </w:r>
      <w:r>
        <w:rPr>
          <w:rFonts w:ascii="Calibri" w:hAnsi="Calibri" w:eastAsia="微软雅黑"/>
          <w:b/>
          <w:i w:val="0"/>
          <w:color w:val="2980B9"/>
          <w:sz w:val="21"/>
        </w:rPr>
        <w:t>[14]</w:t>
      </w:r>
      <w:r>
        <w:rPr>
          <w:rFonts w:ascii="Calibri" w:hAnsi="Calibri" w:eastAsia="微软雅黑"/>
          <w:b w:val="0"/>
          <w:i w:val="0"/>
          <w:sz w:val="21"/>
        </w:rPr>
        <w:t xml:space="preserve"> Friedlingstein P, O’Sullivan M, et al. Global Carbon Budget 2023[J]. Earth system science data, 2023.（不相关，非正式引用）</w:t>
      </w:r>
    </w:p>
    <w:p>
      <w:r>
        <w:rPr>
          <w:rFonts w:ascii="Calibri" w:hAnsi="Calibri" w:eastAsia="微软雅黑"/>
          <w:b w:val="0"/>
          <w:i w:val="0"/>
          <w:sz w:val="21"/>
        </w:rPr>
      </w:r>
      <w:r>
        <w:rPr>
          <w:rFonts w:ascii="Calibri" w:hAnsi="Calibri" w:eastAsia="微软雅黑"/>
          <w:b/>
          <w:i w:val="0"/>
          <w:color w:val="2980B9"/>
          <w:sz w:val="21"/>
        </w:rPr>
        <w:t>[15]</w:t>
      </w:r>
      <w:r>
        <w:rPr>
          <w:rFonts w:ascii="Calibri" w:hAnsi="Calibri" w:eastAsia="微软雅黑"/>
          <w:b w:val="0"/>
          <w:i w:val="0"/>
          <w:sz w:val="21"/>
        </w:rPr>
        <w:t xml:space="preserve"> Frank D, Reichstein M, et al. Effects of climate extremes on the terrestrial carbon cycle: concepts, process understanding, and future directions[J]. Global Change Biology, 2015.（不相关，非正式引用）</w:t>
      </w:r>
    </w:p>
    <w:p>
      <w:r>
        <w:rPr>
          <w:rFonts w:ascii="Calibri" w:hAnsi="Calibri" w:eastAsia="微软雅黑"/>
          <w:b w:val="0"/>
          <w:i w:val="0"/>
          <w:sz w:val="21"/>
        </w:rPr>
      </w:r>
      <w:r>
        <w:rPr>
          <w:rFonts w:ascii="Calibri" w:hAnsi="Calibri" w:eastAsia="微软雅黑"/>
          <w:b/>
          <w:i w:val="0"/>
          <w:color w:val="2980B9"/>
          <w:sz w:val="21"/>
        </w:rPr>
        <w:t>[34]</w:t>
      </w:r>
      <w:r>
        <w:rPr>
          <w:rFonts w:ascii="Calibri" w:hAnsi="Calibri" w:eastAsia="微软雅黑"/>
          <w:b w:val="0"/>
          <w:i w:val="0"/>
          <w:sz w:val="21"/>
        </w:rPr>
        <w:t xml:space="preserve"> Wang X, Han Y, et al. Convergence of Edge Computing and Deep Learning: A Comprehensive Survey[J]. IEEE Communications Surveys &amp; Tutorials, 2020.（不相关，非正式引用）</w:t>
      </w:r>
    </w:p>
    <w:p>
      <w:r>
        <w:rPr>
          <w:rFonts w:ascii="Calibri" w:hAnsi="Calibri" w:eastAsia="微软雅黑"/>
          <w:b w:val="0"/>
          <w:i w:val="0"/>
          <w:sz w:val="21"/>
        </w:rPr>
      </w:r>
      <w:r>
        <w:rPr>
          <w:rFonts w:ascii="Calibri" w:hAnsi="Calibri" w:eastAsia="微软雅黑"/>
          <w:b/>
          <w:i w:val="0"/>
          <w:color w:val="2980B9"/>
          <w:sz w:val="21"/>
        </w:rPr>
        <w:t>[35]</w:t>
      </w:r>
      <w:r>
        <w:rPr>
          <w:rFonts w:ascii="Calibri" w:hAnsi="Calibri" w:eastAsia="微软雅黑"/>
          <w:b w:val="0"/>
          <w:i w:val="0"/>
          <w:sz w:val="21"/>
        </w:rPr>
        <w:t xml:space="preserve"> Aslam S, Herodotou H, et al. A survey on deep learning methods for power load and renewable energy forecasting[J]. Renewable and Sustainable Energy Reviews, 2021.</w:t>
      </w:r>
    </w:p>
    <w:p>
      <w:r>
        <w:rPr>
          <w:rFonts w:ascii="Calibri" w:hAnsi="Calibri" w:eastAsia="微软雅黑"/>
          <w:b w:val="0"/>
          <w:i w:val="0"/>
          <w:sz w:val="21"/>
        </w:rPr>
      </w:r>
      <w:r>
        <w:rPr>
          <w:rFonts w:ascii="Calibri" w:hAnsi="Calibri" w:eastAsia="微软雅黑"/>
          <w:b/>
          <w:i w:val="0"/>
          <w:color w:val="2980B9"/>
          <w:sz w:val="21"/>
        </w:rPr>
        <w:t>[36]</w:t>
      </w:r>
      <w:r>
        <w:rPr>
          <w:rFonts w:ascii="Calibri" w:hAnsi="Calibri" w:eastAsia="微软雅黑"/>
          <w:b w:val="0"/>
          <w:i w:val="0"/>
          <w:sz w:val="21"/>
        </w:rPr>
        <w:t xml:space="preserve"> Somu N, Gauthama Raman M R, et al. A deep learning framework for building energy consumption forecast[J]. Renewable and Sustainable Energy Reviews, 2020.</w:t>
      </w:r>
    </w:p>
    <w:p>
      <w:r>
        <w:rPr>
          <w:rFonts w:ascii="Calibri" w:hAnsi="Calibri" w:eastAsia="微软雅黑"/>
          <w:b w:val="0"/>
          <w:i w:val="0"/>
          <w:sz w:val="21"/>
        </w:rPr>
      </w:r>
      <w:r>
        <w:rPr>
          <w:rFonts w:ascii="Calibri" w:hAnsi="Calibri" w:eastAsia="微软雅黑"/>
          <w:b/>
          <w:i w:val="0"/>
          <w:color w:val="2980B9"/>
          <w:sz w:val="21"/>
        </w:rPr>
        <w:t>[37]</w:t>
      </w:r>
      <w:r>
        <w:rPr>
          <w:rFonts w:ascii="Calibri" w:hAnsi="Calibri" w:eastAsia="微软雅黑"/>
          <w:b w:val="0"/>
          <w:i w:val="0"/>
          <w:sz w:val="21"/>
        </w:rPr>
        <w:t xml:space="preserve"> Wang Z, Hong T, et al. Building thermal load prediction through shallow machine learning and deep learning[J]. Applied Energy, 2020.</w:t>
      </w:r>
    </w:p>
    <w:p>
      <w:r>
        <w:rPr>
          <w:rFonts w:ascii="Calibri" w:hAnsi="Calibri" w:eastAsia="微软雅黑"/>
          <w:b w:val="0"/>
          <w:i w:val="0"/>
          <w:sz w:val="21"/>
        </w:rPr>
      </w:r>
      <w:r>
        <w:rPr>
          <w:rFonts w:ascii="Calibri" w:hAnsi="Calibri" w:eastAsia="微软雅黑"/>
          <w:b/>
          <w:i w:val="0"/>
          <w:color w:val="2980B9"/>
          <w:sz w:val="21"/>
        </w:rPr>
        <w:t>[38]</w:t>
      </w:r>
      <w:r>
        <w:rPr>
          <w:rFonts w:ascii="Calibri" w:hAnsi="Calibri" w:eastAsia="微软雅黑"/>
          <w:b w:val="0"/>
          <w:i w:val="0"/>
          <w:sz w:val="21"/>
        </w:rPr>
        <w:t xml:space="preserve"> Bedi J, Toshniwal D. Deep learning framework to forecast electricity demand[J]. Applied Energy, 2019.</w:t>
      </w:r>
    </w:p>
    <w:p>
      <w:r>
        <w:rPr>
          <w:rFonts w:ascii="Calibri" w:hAnsi="Calibri" w:eastAsia="微软雅黑"/>
          <w:b w:val="0"/>
          <w:i w:val="0"/>
          <w:sz w:val="21"/>
        </w:rPr>
      </w:r>
      <w:r>
        <w:rPr>
          <w:rFonts w:ascii="Calibri" w:hAnsi="Calibri" w:eastAsia="微软雅黑"/>
          <w:b/>
          <w:i w:val="0"/>
          <w:color w:val="2980B9"/>
          <w:sz w:val="21"/>
        </w:rPr>
        <w:t>[39]</w:t>
      </w:r>
      <w:r>
        <w:rPr>
          <w:rFonts w:ascii="Calibri" w:hAnsi="Calibri" w:eastAsia="微软雅黑"/>
          <w:b w:val="0"/>
          <w:i w:val="0"/>
          <w:sz w:val="21"/>
        </w:rPr>
        <w:t xml:space="preserve"> Ağbulut Ü. Forecasting of transportation-related energy demand and CO2 emissions[J]. Sustainable Production and Consumption, 2021.（不相关，非正式引用）</w:t>
      </w:r>
    </w:p>
    <w:p>
      <w:r>
        <w:rPr>
          <w:rFonts w:ascii="Calibri" w:hAnsi="Calibri" w:eastAsia="微软雅黑"/>
          <w:b w:val="0"/>
          <w:i w:val="0"/>
          <w:sz w:val="21"/>
        </w:rPr>
      </w:r>
      <w:r>
        <w:rPr>
          <w:rFonts w:ascii="Calibri" w:hAnsi="Calibri" w:eastAsia="微软雅黑"/>
          <w:b/>
          <w:i w:val="0"/>
          <w:color w:val="2980B9"/>
          <w:sz w:val="21"/>
        </w:rPr>
        <w:t>[40]</w:t>
      </w:r>
      <w:r>
        <w:rPr>
          <w:rFonts w:ascii="Calibri" w:hAnsi="Calibri" w:eastAsia="微软雅黑"/>
          <w:b w:val="0"/>
          <w:i w:val="0"/>
          <w:sz w:val="21"/>
        </w:rPr>
        <w:t xml:space="preserve"> Nam K J, Hwangbo S, et al. A deep learning-based forecasting model for renewable energy scenarios[J]. Renewable and Sustainable Energy Reviews, 2020.</w:t>
      </w:r>
    </w:p>
    <w:p>
      <w:pPr>
        <w:pStyle w:val="Heading3"/>
      </w:pPr>
      <w:r>
        <w:rPr>
          <w:rFonts w:ascii="Calibri" w:hAnsi="Calibri" w:eastAsia="微软雅黑"/>
          <w:b/>
          <w:i w:val="0"/>
          <w:color w:val="1A1A2E"/>
          <w:sz w:val="20"/>
        </w:rPr>
        <w:t>A级论文</w:t>
      </w:r>
    </w:p>
    <w:p>
      <w:r>
        <w:rPr>
          <w:rFonts w:ascii="Calibri" w:hAnsi="Calibri" w:eastAsia="微软雅黑"/>
          <w:b w:val="0"/>
          <w:i w:val="0"/>
          <w:sz w:val="21"/>
        </w:rPr>
      </w:r>
      <w:r>
        <w:rPr>
          <w:rFonts w:ascii="Calibri" w:hAnsi="Calibri" w:eastAsia="微软雅黑"/>
          <w:b/>
          <w:i w:val="0"/>
          <w:color w:val="2980B9"/>
          <w:sz w:val="21"/>
        </w:rPr>
        <w:t>[31]</w:t>
      </w:r>
      <w:r>
        <w:rPr>
          <w:rFonts w:ascii="Calibri" w:hAnsi="Calibri" w:eastAsia="微软雅黑"/>
          <w:b w:val="0"/>
          <w:i w:val="0"/>
          <w:sz w:val="21"/>
        </w:rPr>
        <w:t xml:space="preserve"> Nadirgil O. Carbon price prediction using multiple hybrid machine learning models[J]. Journal of Environmental Management, 2023.</w:t>
      </w:r>
    </w:p>
    <w:p>
      <w:r>
        <w:rPr>
          <w:rFonts w:ascii="Calibri" w:hAnsi="Calibri" w:eastAsia="微软雅黑"/>
          <w:b w:val="0"/>
          <w:i w:val="0"/>
          <w:sz w:val="21"/>
        </w:rPr>
      </w:r>
      <w:r>
        <w:rPr>
          <w:rFonts w:ascii="Calibri" w:hAnsi="Calibri" w:eastAsia="微软雅黑"/>
          <w:b/>
          <w:i w:val="0"/>
          <w:color w:val="2980B9"/>
          <w:sz w:val="21"/>
        </w:rPr>
        <w:t>[42]</w:t>
      </w:r>
      <w:r>
        <w:rPr>
          <w:rFonts w:ascii="Calibri" w:hAnsi="Calibri" w:eastAsia="微软雅黑"/>
          <w:b w:val="0"/>
          <w:i w:val="0"/>
          <w:sz w:val="21"/>
        </w:rPr>
        <w:t xml:space="preserve"> Shi H, Xu M, et al. Deep Learning for Household Load Forecasting—A Novel Pooling Deep RNN[J]. IEEE Transactions on Smart Grid, 2017.</w:t>
      </w:r>
    </w:p>
    <w:p>
      <w:r>
        <w:rPr>
          <w:rFonts w:ascii="Calibri" w:hAnsi="Calibri" w:eastAsia="微软雅黑"/>
          <w:b w:val="0"/>
          <w:i w:val="0"/>
          <w:sz w:val="21"/>
        </w:rPr>
      </w:r>
      <w:r>
        <w:rPr>
          <w:rFonts w:ascii="Calibri" w:hAnsi="Calibri" w:eastAsia="微软雅黑"/>
          <w:b/>
          <w:i w:val="0"/>
          <w:color w:val="2980B9"/>
          <w:sz w:val="21"/>
        </w:rPr>
        <w:t>[43]</w:t>
      </w:r>
      <w:r>
        <w:rPr>
          <w:rFonts w:ascii="Calibri" w:hAnsi="Calibri" w:eastAsia="微软雅黑"/>
          <w:b w:val="0"/>
          <w:i w:val="0"/>
          <w:sz w:val="21"/>
        </w:rPr>
        <w:t xml:space="preserve"> Qiu X, Ren Y, et al. Empirical Mode Decomposition based ensemble deep learning for load demand forecasting[J]. Applied Soft Computing, 2017.</w:t>
      </w:r>
    </w:p>
    <w:p>
      <w:r>
        <w:rPr>
          <w:rFonts w:ascii="Calibri" w:hAnsi="Calibri" w:eastAsia="微软雅黑"/>
          <w:b w:val="0"/>
          <w:i w:val="0"/>
          <w:sz w:val="21"/>
        </w:rPr>
      </w:r>
      <w:r>
        <w:rPr>
          <w:rFonts w:ascii="Calibri" w:hAnsi="Calibri" w:eastAsia="微软雅黑"/>
          <w:b/>
          <w:i w:val="0"/>
          <w:color w:val="2980B9"/>
          <w:sz w:val="21"/>
        </w:rPr>
        <w:t>[44]</w:t>
      </w:r>
      <w:r>
        <w:rPr>
          <w:rFonts w:ascii="Calibri" w:hAnsi="Calibri" w:eastAsia="微软雅黑"/>
          <w:b w:val="0"/>
          <w:i w:val="0"/>
          <w:sz w:val="21"/>
        </w:rPr>
        <w:t xml:space="preserve"> Kumari P, Toshniwal D. Deep learning models for solar irradiance forecasting: A comprehensive review[J]. Journal of Cleaner Production, 2021.（不相关，非正式引用）</w:t>
      </w:r>
    </w:p>
    <w:p>
      <w:r>
        <w:rPr>
          <w:rFonts w:ascii="Calibri" w:hAnsi="Calibri" w:eastAsia="微软雅黑"/>
          <w:b w:val="0"/>
          <w:i w:val="0"/>
          <w:sz w:val="21"/>
        </w:rPr>
      </w:r>
      <w:r>
        <w:rPr>
          <w:rFonts w:ascii="Calibri" w:hAnsi="Calibri" w:eastAsia="微软雅黑"/>
          <w:b/>
          <w:i w:val="0"/>
          <w:color w:val="2980B9"/>
          <w:sz w:val="21"/>
        </w:rPr>
        <w:t>[45]</w:t>
      </w:r>
      <w:r>
        <w:rPr>
          <w:rFonts w:ascii="Calibri" w:hAnsi="Calibri" w:eastAsia="微软雅黑"/>
          <w:b w:val="0"/>
          <w:i w:val="0"/>
          <w:sz w:val="21"/>
        </w:rPr>
        <w:t xml:space="preserve"> Wen L, Zhou K, et al. Optimal load dispatch of community microgrid with deep learning based solar power and load forecasting[J]. Energy, 2019.</w:t>
      </w:r>
    </w:p>
    <w:p>
      <w:r>
        <w:rPr>
          <w:rFonts w:ascii="Calibri" w:hAnsi="Calibri" w:eastAsia="微软雅黑"/>
          <w:b w:val="0"/>
          <w:i w:val="0"/>
          <w:sz w:val="21"/>
        </w:rPr>
      </w:r>
      <w:r>
        <w:rPr>
          <w:rFonts w:ascii="Calibri" w:hAnsi="Calibri" w:eastAsia="微软雅黑"/>
          <w:b/>
          <w:i w:val="0"/>
          <w:color w:val="2980B9"/>
          <w:sz w:val="21"/>
        </w:rPr>
        <w:t>[46]</w:t>
      </w:r>
      <w:r>
        <w:rPr>
          <w:rFonts w:ascii="Calibri" w:hAnsi="Calibri" w:eastAsia="微软雅黑"/>
          <w:b w:val="0"/>
          <w:i w:val="0"/>
          <w:sz w:val="21"/>
        </w:rPr>
        <w:t xml:space="preserve"> Khalil M, McGough A S, et al. Machine Learning, Deep Learning and Statistical Analysis for forecasting building energy consumption[J]. Engineering Applications of Artificial Intelligence, 2022.</w:t>
      </w:r>
    </w:p>
    <w:p>
      <w:pPr>
        <w:pStyle w:val="Heading3"/>
      </w:pPr>
      <w:r>
        <w:rPr>
          <w:rFonts w:ascii="Calibri" w:hAnsi="Calibri" w:eastAsia="微软雅黑"/>
          <w:b/>
          <w:i w:val="0"/>
          <w:color w:val="1A1A2E"/>
          <w:sz w:val="20"/>
        </w:rPr>
        <w:t>B级论文</w:t>
      </w:r>
    </w:p>
    <w:p>
      <w:r>
        <w:rPr>
          <w:rFonts w:ascii="Calibri" w:hAnsi="Calibri" w:eastAsia="微软雅黑"/>
          <w:b w:val="0"/>
          <w:i w:val="0"/>
          <w:sz w:val="21"/>
        </w:rPr>
      </w:r>
      <w:r>
        <w:rPr>
          <w:rFonts w:ascii="Calibri" w:hAnsi="Calibri" w:eastAsia="微软雅黑"/>
          <w:b/>
          <w:i w:val="0"/>
          <w:color w:val="2980B9"/>
          <w:sz w:val="21"/>
        </w:rPr>
        <w:t>[11]</w:t>
      </w:r>
      <w:r>
        <w:rPr>
          <w:rFonts w:ascii="Calibri" w:hAnsi="Calibri" w:eastAsia="微软雅黑"/>
          <w:b w:val="0"/>
          <w:i w:val="0"/>
          <w:sz w:val="21"/>
        </w:rPr>
        <w:t xml:space="preserve"> Makridakis S, Spiliotis E, et al. Statistical and Machine Learning forecasting methods: Concerns and ways forward[J]. PLoS ONE, 2018.</w:t>
      </w:r>
    </w:p>
    <w:p>
      <w:r>
        <w:rPr>
          <w:rFonts w:ascii="Calibri" w:hAnsi="Calibri" w:eastAsia="微软雅黑"/>
          <w:b w:val="0"/>
          <w:i w:val="0"/>
          <w:sz w:val="21"/>
        </w:rPr>
      </w:r>
      <w:r>
        <w:rPr>
          <w:rFonts w:ascii="Calibri" w:hAnsi="Calibri" w:eastAsia="微软雅黑"/>
          <w:b/>
          <w:i w:val="0"/>
          <w:color w:val="2980B9"/>
          <w:sz w:val="21"/>
        </w:rPr>
        <w:t>[12]</w:t>
      </w:r>
      <w:r>
        <w:rPr>
          <w:rFonts w:ascii="Calibri" w:hAnsi="Calibri" w:eastAsia="微软雅黑"/>
          <w:b w:val="0"/>
          <w:i w:val="0"/>
          <w:sz w:val="21"/>
        </w:rPr>
        <w:t xml:space="preserve"> Shaukat K, Luo S, et al. A Survey on Machine Learning Techniques for Cyber Security in the Last Decade[J]. IEEE Access, 2020.（不相关，非正式引用）</w:t>
      </w:r>
    </w:p>
    <w:p>
      <w:r>
        <w:rPr>
          <w:rFonts w:ascii="Calibri" w:hAnsi="Calibri" w:eastAsia="微软雅黑"/>
          <w:b w:val="0"/>
          <w:i w:val="0"/>
          <w:sz w:val="21"/>
        </w:rPr>
      </w:r>
      <w:r>
        <w:rPr>
          <w:rFonts w:ascii="Calibri" w:hAnsi="Calibri" w:eastAsia="微软雅黑"/>
          <w:b/>
          <w:i w:val="0"/>
          <w:color w:val="2980B9"/>
          <w:sz w:val="21"/>
        </w:rPr>
        <w:t>[32]</w:t>
      </w:r>
      <w:r>
        <w:rPr>
          <w:rFonts w:ascii="Calibri" w:hAnsi="Calibri" w:eastAsia="微软雅黑"/>
          <w:b w:val="0"/>
          <w:i w:val="0"/>
          <w:sz w:val="21"/>
        </w:rPr>
        <w:t xml:space="preserve"> Hansen J E, Kharecha P, et al. Assessing “Dangerous Climate Change”: Required Reduction of Carbon Emissions[J]. PLoS ONE, 2013.（不相关，非正式引用）</w:t>
      </w:r>
    </w:p>
    <w:p>
      <w:r>
        <w:rPr>
          <w:rFonts w:ascii="Calibri" w:hAnsi="Calibri" w:eastAsia="微软雅黑"/>
          <w:b w:val="0"/>
          <w:i w:val="0"/>
          <w:sz w:val="21"/>
        </w:rPr>
      </w:r>
      <w:r>
        <w:rPr>
          <w:rFonts w:ascii="Calibri" w:hAnsi="Calibri" w:eastAsia="微软雅黑"/>
          <w:b/>
          <w:i w:val="0"/>
          <w:color w:val="2980B9"/>
          <w:sz w:val="21"/>
        </w:rPr>
        <w:t>[33]</w:t>
      </w:r>
      <w:r>
        <w:rPr>
          <w:rFonts w:ascii="Calibri" w:hAnsi="Calibri" w:eastAsia="微软雅黑"/>
          <w:b w:val="0"/>
          <w:i w:val="0"/>
          <w:sz w:val="21"/>
        </w:rPr>
        <w:t xml:space="preserve"> Shahhosseini M, Hu G, et al. Coupling machine learning and crop modeling improves crop yield prediction[J]. Scientific Reports, 2021.（不相关，非正式引用）</w:t>
      </w:r>
    </w:p>
    <w:p>
      <w:r>
        <w:rPr>
          <w:rFonts w:ascii="Calibri" w:hAnsi="Calibri" w:eastAsia="微软雅黑"/>
          <w:b w:val="0"/>
          <w:i w:val="0"/>
          <w:sz w:val="21"/>
        </w:rPr>
      </w:r>
      <w:r>
        <w:rPr>
          <w:rFonts w:ascii="Calibri" w:hAnsi="Calibri" w:eastAsia="微软雅黑"/>
          <w:b/>
          <w:i w:val="0"/>
          <w:color w:val="2980B9"/>
          <w:sz w:val="21"/>
        </w:rPr>
        <w:t>[47]</w:t>
      </w:r>
      <w:r>
        <w:rPr>
          <w:rFonts w:ascii="Calibri" w:hAnsi="Calibri" w:eastAsia="微软雅黑"/>
          <w:b w:val="0"/>
          <w:i w:val="0"/>
          <w:sz w:val="21"/>
        </w:rPr>
        <w:t xml:space="preserve"> Shrestha A, Mahmood A. Review of Deep Learning Algorithms and Architectures[J]. IEEE Access, 2019.（不相关，非正式引用）</w:t>
      </w:r>
    </w:p>
    <w:p>
      <w:r>
        <w:rPr>
          <w:rFonts w:ascii="Calibri" w:hAnsi="Calibri" w:eastAsia="微软雅黑"/>
          <w:b w:val="0"/>
          <w:i w:val="0"/>
          <w:sz w:val="21"/>
        </w:rPr>
      </w:r>
      <w:r>
        <w:rPr>
          <w:rFonts w:ascii="Calibri" w:hAnsi="Calibri" w:eastAsia="微软雅黑"/>
          <w:b/>
          <w:i w:val="0"/>
          <w:color w:val="2980B9"/>
          <w:sz w:val="21"/>
        </w:rPr>
        <w:t>[48]</w:t>
      </w:r>
      <w:r>
        <w:rPr>
          <w:rFonts w:ascii="Calibri" w:hAnsi="Calibri" w:eastAsia="微软雅黑"/>
          <w:b w:val="0"/>
          <w:i w:val="0"/>
          <w:sz w:val="21"/>
        </w:rPr>
        <w:t xml:space="preserve"> Forootan M M, Larki I, et al. Machine Learning and Deep Learning in Energy Systems: A Review[J]. Sustainability, 2022.</w:t>
      </w:r>
    </w:p>
    <w:p>
      <w:r>
        <w:rPr>
          <w:rFonts w:ascii="Calibri" w:hAnsi="Calibri" w:eastAsia="微软雅黑"/>
          <w:b w:val="0"/>
          <w:i w:val="0"/>
          <w:sz w:val="21"/>
        </w:rPr>
      </w:r>
      <w:r>
        <w:rPr>
          <w:rFonts w:ascii="Calibri" w:hAnsi="Calibri" w:eastAsia="微软雅黑"/>
          <w:b/>
          <w:i w:val="0"/>
          <w:color w:val="2980B9"/>
          <w:sz w:val="21"/>
        </w:rPr>
        <w:t>[49]</w:t>
      </w:r>
      <w:r>
        <w:rPr>
          <w:rFonts w:ascii="Calibri" w:hAnsi="Calibri" w:eastAsia="微软雅黑"/>
          <w:b w:val="0"/>
          <w:i w:val="0"/>
          <w:sz w:val="21"/>
        </w:rPr>
        <w:t xml:space="preserve"> Wazirali R, Yaghoubi E, et al. State-of-the-art review on energy and load forecasting in microgrids using artificial neural networks[J]. Electric Power Systems Research, 2023.</w:t>
      </w:r>
    </w:p>
    <w:p>
      <w:r>
        <w:rPr>
          <w:rFonts w:ascii="Calibri" w:hAnsi="Calibri" w:eastAsia="微软雅黑"/>
          <w:b w:val="0"/>
          <w:i w:val="0"/>
          <w:sz w:val="21"/>
        </w:rPr>
      </w:r>
      <w:r>
        <w:rPr>
          <w:rFonts w:ascii="Calibri" w:hAnsi="Calibri" w:eastAsia="微软雅黑"/>
          <w:b/>
          <w:i w:val="0"/>
          <w:color w:val="2980B9"/>
          <w:sz w:val="21"/>
        </w:rPr>
        <w:t>[50]</w:t>
      </w:r>
      <w:r>
        <w:rPr>
          <w:rFonts w:ascii="Calibri" w:hAnsi="Calibri" w:eastAsia="微软雅黑"/>
          <w:b w:val="0"/>
          <w:i w:val="0"/>
          <w:sz w:val="21"/>
        </w:rPr>
        <w:t xml:space="preserve"> Wen L, Zhou K, et al. Load demand forecasting of residential buildings using a deep learning model[J]. Electric Power Systems Research, 2019.</w:t>
      </w:r>
    </w:p>
    <w:p>
      <w:pPr>
        <w:pStyle w:val="Heading2"/>
      </w:pPr>
      <w:r>
        <w:rPr>
          <w:rFonts w:ascii="Calibri" w:hAnsi="Calibri" w:eastAsia="微软雅黑"/>
          <w:b/>
          <w:i w:val="0"/>
          <w:color w:val="1A1A2E"/>
          <w:sz w:val="24"/>
        </w:rPr>
        <w:t>参考文献</w:t>
      </w:r>
    </w:p>
    <w:p>
      <w:pPr>
        <w:pStyle w:val="Heading3"/>
      </w:pPr>
      <w:r>
        <w:rPr>
          <w:rFonts w:ascii="Calibri" w:hAnsi="Calibri" w:eastAsia="微软雅黑"/>
          <w:b/>
          <w:i w:val="0"/>
          <w:color w:val="1A1A2E"/>
          <w:sz w:val="20"/>
        </w:rPr>
        <w:t>S级（顶刊）</w:t>
      </w:r>
    </w:p>
    <w:p>
      <w:r>
        <w:rPr>
          <w:rFonts w:ascii="Calibri" w:hAnsi="Calibri" w:eastAsia="微软雅黑"/>
          <w:b w:val="0"/>
          <w:i w:val="0"/>
          <w:sz w:val="21"/>
        </w:rPr>
      </w:r>
      <w:r>
        <w:rPr>
          <w:rFonts w:ascii="Calibri" w:hAnsi="Calibri" w:eastAsia="微软雅黑"/>
          <w:b/>
          <w:i w:val="0"/>
          <w:color w:val="2980B9"/>
          <w:sz w:val="21"/>
        </w:rPr>
        <w:t>[1]</w:t>
      </w:r>
      <w:r>
        <w:rPr>
          <w:rFonts w:ascii="Calibri" w:hAnsi="Calibri" w:eastAsia="微软雅黑"/>
          <w:b w:val="0"/>
          <w:i w:val="0"/>
          <w:sz w:val="21"/>
        </w:rPr>
        <w:t xml:space="preserve"> Iain Staffell, Daniel Scamman, Anthony Velazquez Abad, 等. The role of hydrogen and fuel cells in the global energy system. *Energy &amp; Environmental Science*, 2018. doi:10.1039/c8ee01157e.</w:t>
      </w:r>
    </w:p>
    <w:p>
      <w:r>
        <w:rPr>
          <w:rFonts w:ascii="Calibri" w:hAnsi="Calibri" w:eastAsia="微软雅黑"/>
          <w:b w:val="0"/>
          <w:i w:val="0"/>
          <w:sz w:val="21"/>
        </w:rPr>
      </w:r>
      <w:r>
        <w:rPr>
          <w:rFonts w:ascii="Calibri" w:hAnsi="Calibri" w:eastAsia="微软雅黑"/>
          <w:b/>
          <w:i w:val="0"/>
          <w:color w:val="2980B9"/>
          <w:sz w:val="21"/>
        </w:rPr>
        <w:t>[2]</w:t>
      </w:r>
      <w:r>
        <w:rPr>
          <w:rFonts w:ascii="Calibri" w:hAnsi="Calibri" w:eastAsia="微软雅黑"/>
          <w:b w:val="0"/>
          <w:i w:val="0"/>
          <w:sz w:val="21"/>
        </w:rPr>
        <w:t xml:space="preserve"> Merlinda Andoni, Valentin Robu, David Flynn, 等. Blockchain technology in the energy sector: A systematic review of challenges and opportunities. *Renewable and Sustainable Energy Reviews*, 2018. doi:10.1016/j.rser.2018.10.014.</w:t>
      </w:r>
    </w:p>
    <w:p>
      <w:r>
        <w:rPr>
          <w:rFonts w:ascii="Calibri" w:hAnsi="Calibri" w:eastAsia="微软雅黑"/>
          <w:b w:val="0"/>
          <w:i w:val="0"/>
          <w:sz w:val="21"/>
        </w:rPr>
      </w:r>
      <w:r>
        <w:rPr>
          <w:rFonts w:ascii="Calibri" w:hAnsi="Calibri" w:eastAsia="微软雅黑"/>
          <w:b/>
          <w:i w:val="0"/>
          <w:color w:val="2980B9"/>
          <w:sz w:val="21"/>
        </w:rPr>
        <w:t>[3]</w:t>
      </w:r>
      <w:r>
        <w:rPr>
          <w:rFonts w:ascii="Calibri" w:hAnsi="Calibri" w:eastAsia="微软雅黑"/>
          <w:b w:val="0"/>
          <w:i w:val="0"/>
          <w:sz w:val="21"/>
        </w:rPr>
        <w:t xml:space="preserve"> Nicola Armaroli, Vincenzo Balzani. The Future of Energy Supply: Challenges and Opportunities. *Angewandte Chemie International Edition*, 2006. doi:10.1002/anie.200602373.</w:t>
      </w:r>
    </w:p>
    <w:p>
      <w:r>
        <w:rPr>
          <w:rFonts w:ascii="Calibri" w:hAnsi="Calibri" w:eastAsia="微软雅黑"/>
          <w:b w:val="0"/>
          <w:i w:val="0"/>
          <w:sz w:val="21"/>
        </w:rPr>
      </w:r>
      <w:r>
        <w:rPr>
          <w:rFonts w:ascii="Calibri" w:hAnsi="Calibri" w:eastAsia="微软雅黑"/>
          <w:b/>
          <w:i w:val="0"/>
          <w:color w:val="2980B9"/>
          <w:sz w:val="21"/>
        </w:rPr>
        <w:t>[5]</w:t>
      </w:r>
      <w:r>
        <w:rPr>
          <w:rFonts w:ascii="Calibri" w:hAnsi="Calibri" w:eastAsia="微软雅黑"/>
          <w:b w:val="0"/>
          <w:i w:val="0"/>
          <w:sz w:val="21"/>
        </w:rPr>
        <w:t xml:space="preserve"> Vincent François-Lavet, Peter Henderson, Riashat Islam, 等. An Introduction to Deep Reinforcement Learning. *Foundations and Trends® in Machine Learning*, 2018. doi:10.1561/2200000071.</w:t>
      </w:r>
    </w:p>
    <w:p>
      <w:r>
        <w:rPr>
          <w:rFonts w:ascii="Calibri" w:hAnsi="Calibri" w:eastAsia="微软雅黑"/>
          <w:b w:val="0"/>
          <w:i w:val="0"/>
          <w:sz w:val="21"/>
        </w:rPr>
      </w:r>
      <w:r>
        <w:rPr>
          <w:rFonts w:ascii="Calibri" w:hAnsi="Calibri" w:eastAsia="微软雅黑"/>
          <w:b/>
          <w:i w:val="0"/>
          <w:color w:val="2980B9"/>
          <w:sz w:val="21"/>
        </w:rPr>
        <w:t>[6]</w:t>
      </w:r>
      <w:r>
        <w:rPr>
          <w:rFonts w:ascii="Calibri" w:hAnsi="Calibri" w:eastAsia="微软雅黑"/>
          <w:b w:val="0"/>
          <w:i w:val="0"/>
          <w:sz w:val="21"/>
        </w:rPr>
        <w:t xml:space="preserve"> Paul Veers, Katherine Dykes, Eric Lantz, 等. Grand challenges in the science of wind energy. *Science*, 2019. doi:10.1126/science.aau2027.</w:t>
      </w:r>
    </w:p>
    <w:p>
      <w:r>
        <w:rPr>
          <w:rFonts w:ascii="Calibri" w:hAnsi="Calibri" w:eastAsia="微软雅黑"/>
          <w:b w:val="0"/>
          <w:i w:val="0"/>
          <w:sz w:val="21"/>
        </w:rPr>
      </w:r>
      <w:r>
        <w:rPr>
          <w:rFonts w:ascii="Calibri" w:hAnsi="Calibri" w:eastAsia="微软雅黑"/>
          <w:b/>
          <w:i w:val="0"/>
          <w:color w:val="2980B9"/>
          <w:sz w:val="21"/>
        </w:rPr>
        <w:t>[7]</w:t>
      </w:r>
      <w:r>
        <w:rPr>
          <w:rFonts w:ascii="Calibri" w:hAnsi="Calibri" w:eastAsia="微软雅黑"/>
          <w:b w:val="0"/>
          <w:i w:val="0"/>
          <w:sz w:val="21"/>
        </w:rPr>
        <w:t xml:space="preserve"> Rung-Ching Chen, Christine Dewi, Su-Wen Huang, 等. Selecting critical features for data classification based on machine learning methods. *Journal Of Big Data*, 2020. doi:10.1186/s40537-020-00327-4.</w:t>
      </w:r>
    </w:p>
    <w:p>
      <w:r>
        <w:rPr>
          <w:rFonts w:ascii="Calibri" w:hAnsi="Calibri" w:eastAsia="微软雅黑"/>
          <w:b w:val="0"/>
          <w:i w:val="0"/>
          <w:sz w:val="21"/>
        </w:rPr>
      </w:r>
      <w:r>
        <w:rPr>
          <w:rFonts w:ascii="Calibri" w:hAnsi="Calibri" w:eastAsia="微软雅黑"/>
          <w:b/>
          <w:i w:val="0"/>
          <w:color w:val="2980B9"/>
          <w:sz w:val="21"/>
        </w:rPr>
        <w:t>[8]</w:t>
      </w:r>
      <w:r>
        <w:rPr>
          <w:rFonts w:ascii="Calibri" w:hAnsi="Calibri" w:eastAsia="微软雅黑"/>
          <w:b w:val="0"/>
          <w:i w:val="0"/>
          <w:sz w:val="21"/>
        </w:rPr>
        <w:t xml:space="preserve"> Ioannis Antonopoulos, Valentin Robu, Benoit Couraud, 等. Artificial intelligence and machine learning approaches to energy demand-side response: A systematic review. *Renewable and Sustainable Energy Reviews*, 2020. doi:10.1016/j.rser.2020.109899.</w:t>
      </w:r>
    </w:p>
    <w:p>
      <w:r>
        <w:rPr>
          <w:rFonts w:ascii="Calibri" w:hAnsi="Calibri" w:eastAsia="微软雅黑"/>
          <w:b w:val="0"/>
          <w:i w:val="0"/>
          <w:sz w:val="21"/>
        </w:rPr>
      </w:r>
      <w:r>
        <w:rPr>
          <w:rFonts w:ascii="Calibri" w:hAnsi="Calibri" w:eastAsia="微软雅黑"/>
          <w:b/>
          <w:i w:val="0"/>
          <w:color w:val="2980B9"/>
          <w:sz w:val="21"/>
        </w:rPr>
        <w:t>[9]</w:t>
      </w:r>
      <w:r>
        <w:rPr>
          <w:rFonts w:ascii="Calibri" w:hAnsi="Calibri" w:eastAsia="微软雅黑"/>
          <w:b w:val="0"/>
          <w:i w:val="0"/>
          <w:sz w:val="21"/>
        </w:rPr>
        <w:t xml:space="preserve"> Zhenpeng Yao, Yanwei Lum, Andrew Johnston, 等. Machine learning for a sustainable energy future. *Nature Reviews Materials*, 2022. doi:10.1038/s41578-022-00490-5.</w:t>
      </w:r>
    </w:p>
    <w:p>
      <w:r>
        <w:rPr>
          <w:rFonts w:ascii="Calibri" w:hAnsi="Calibri" w:eastAsia="微软雅黑"/>
          <w:b w:val="0"/>
          <w:i w:val="0"/>
          <w:sz w:val="21"/>
        </w:rPr>
      </w:r>
      <w:r>
        <w:rPr>
          <w:rFonts w:ascii="Calibri" w:hAnsi="Calibri" w:eastAsia="微软雅黑"/>
          <w:b/>
          <w:i w:val="0"/>
          <w:color w:val="2980B9"/>
          <w:sz w:val="21"/>
        </w:rPr>
        <w:t>[10]</w:t>
      </w:r>
      <w:r>
        <w:rPr>
          <w:rFonts w:ascii="Calibri" w:hAnsi="Calibri" w:eastAsia="微软雅黑"/>
          <w:b w:val="0"/>
          <w:i w:val="0"/>
          <w:sz w:val="21"/>
        </w:rPr>
        <w:t xml:space="preserve"> Hamed Ghoddusi, Germán G. Creamer, Nima Rafizadeh. Machine learning in energy economics and finance: A review. *Energy Economics*, 2019. doi:10.1016/j.eneco.2019.05.006.</w:t>
      </w:r>
    </w:p>
    <w:p>
      <w:r>
        <w:rPr>
          <w:rFonts w:ascii="Calibri" w:hAnsi="Calibri" w:eastAsia="微软雅黑"/>
          <w:b w:val="0"/>
          <w:i w:val="0"/>
          <w:sz w:val="21"/>
        </w:rPr>
      </w:r>
      <w:r>
        <w:rPr>
          <w:rFonts w:ascii="Calibri" w:hAnsi="Calibri" w:eastAsia="微软雅黑"/>
          <w:b/>
          <w:i w:val="0"/>
          <w:color w:val="2980B9"/>
          <w:sz w:val="21"/>
        </w:rPr>
        <w:t>[14]</w:t>
      </w:r>
      <w:r>
        <w:rPr>
          <w:rFonts w:ascii="Calibri" w:hAnsi="Calibri" w:eastAsia="微软雅黑"/>
          <w:b w:val="0"/>
          <w:i w:val="0"/>
          <w:sz w:val="21"/>
        </w:rPr>
        <w:t xml:space="preserve"> Pierre Friedlingstein, Michael O’Sullivan, Matthew W. Jones, 等. Global Carbon Budget 2023. *Earth system science data*, 2023. doi:10.5194/essd-15-5301-2023.</w:t>
      </w:r>
    </w:p>
    <w:p>
      <w:r>
        <w:rPr>
          <w:rFonts w:ascii="Calibri" w:hAnsi="Calibri" w:eastAsia="微软雅黑"/>
          <w:b w:val="0"/>
          <w:i w:val="0"/>
          <w:sz w:val="21"/>
        </w:rPr>
      </w:r>
      <w:r>
        <w:rPr>
          <w:rFonts w:ascii="Calibri" w:hAnsi="Calibri" w:eastAsia="微软雅黑"/>
          <w:b/>
          <w:i w:val="0"/>
          <w:color w:val="2980B9"/>
          <w:sz w:val="21"/>
        </w:rPr>
        <w:t>[15]</w:t>
      </w:r>
      <w:r>
        <w:rPr>
          <w:rFonts w:ascii="Calibri" w:hAnsi="Calibri" w:eastAsia="微软雅黑"/>
          <w:b w:val="0"/>
          <w:i w:val="0"/>
          <w:sz w:val="21"/>
        </w:rPr>
        <w:t xml:space="preserve"> D. Frank, Markus Reichstein, Michael Bahn, 等. Effects of climate extremes on the terrestrial carbon cycle: concepts, processes and potential future impacts. *Global Change Biology*, 2015. doi:10.1111/gcb.12916.</w:t>
      </w:r>
    </w:p>
    <w:p>
      <w:r>
        <w:rPr>
          <w:rFonts w:ascii="Calibri" w:hAnsi="Calibri" w:eastAsia="微软雅黑"/>
          <w:b w:val="0"/>
          <w:i w:val="0"/>
          <w:sz w:val="21"/>
        </w:rPr>
      </w:r>
      <w:r>
        <w:rPr>
          <w:rFonts w:ascii="Calibri" w:hAnsi="Calibri" w:eastAsia="微软雅黑"/>
          <w:b/>
          <w:i w:val="0"/>
          <w:color w:val="2980B9"/>
          <w:sz w:val="21"/>
        </w:rPr>
        <w:t>[20]</w:t>
      </w:r>
      <w:r>
        <w:rPr>
          <w:rFonts w:ascii="Calibri" w:hAnsi="Calibri" w:eastAsia="微软雅黑"/>
          <w:b w:val="0"/>
          <w:i w:val="0"/>
          <w:sz w:val="21"/>
        </w:rPr>
        <w:t xml:space="preserve"> Rattan Lal. Managing Soils and Ecosystems for Mitigating Anthropogenic Carbon Emissions and Advancing Global Food Security. *BioScience*, 2010. doi:10.1525/bio.2010.60.9.8.</w:t>
      </w:r>
    </w:p>
    <w:p>
      <w:r>
        <w:rPr>
          <w:rFonts w:ascii="Calibri" w:hAnsi="Calibri" w:eastAsia="微软雅黑"/>
          <w:b w:val="0"/>
          <w:i w:val="0"/>
          <w:sz w:val="21"/>
        </w:rPr>
      </w:r>
      <w:r>
        <w:rPr>
          <w:rFonts w:ascii="Calibri" w:hAnsi="Calibri" w:eastAsia="微软雅黑"/>
          <w:b/>
          <w:i w:val="0"/>
          <w:color w:val="2980B9"/>
          <w:sz w:val="21"/>
        </w:rPr>
        <w:t>[34]</w:t>
      </w:r>
      <w:r>
        <w:rPr>
          <w:rFonts w:ascii="Calibri" w:hAnsi="Calibri" w:eastAsia="微软雅黑"/>
          <w:b w:val="0"/>
          <w:i w:val="0"/>
          <w:sz w:val="21"/>
        </w:rPr>
        <w:t xml:space="preserve"> Xiaofei Wang, Yiwen Han, Victor C. M. Leung, 等. Convergence of Edge Computing and Deep Learning: A Comprehensive Survey. *IEEE Communications Surveys &amp; Tutorials*, 2020. doi:10.1109/comst.2020.2970550.</w:t>
      </w:r>
    </w:p>
    <w:p>
      <w:r>
        <w:rPr>
          <w:rFonts w:ascii="Calibri" w:hAnsi="Calibri" w:eastAsia="微软雅黑"/>
          <w:b w:val="0"/>
          <w:i w:val="0"/>
          <w:sz w:val="21"/>
        </w:rPr>
      </w:r>
      <w:r>
        <w:rPr>
          <w:rFonts w:ascii="Calibri" w:hAnsi="Calibri" w:eastAsia="微软雅黑"/>
          <w:b/>
          <w:i w:val="0"/>
          <w:color w:val="2980B9"/>
          <w:sz w:val="21"/>
        </w:rPr>
        <w:t>[35]</w:t>
      </w:r>
      <w:r>
        <w:rPr>
          <w:rFonts w:ascii="Calibri" w:hAnsi="Calibri" w:eastAsia="微软雅黑"/>
          <w:b w:val="0"/>
          <w:i w:val="0"/>
          <w:sz w:val="21"/>
        </w:rPr>
        <w:t xml:space="preserve"> Sheraz Aslam, Herodotos Herodotou, Syed Muhammad Mohsin, 等. A survey on deep learning methods for power load and renewable energy forecasting in smart microgrids. *Renewable and Sustainable Energy Reviews*, 2021. doi:10.1016/j.rser.2021.110992.</w:t>
      </w:r>
    </w:p>
    <w:p>
      <w:r>
        <w:rPr>
          <w:rFonts w:ascii="Calibri" w:hAnsi="Calibri" w:eastAsia="微软雅黑"/>
          <w:b w:val="0"/>
          <w:i w:val="0"/>
          <w:sz w:val="21"/>
        </w:rPr>
      </w:r>
      <w:r>
        <w:rPr>
          <w:rFonts w:ascii="Calibri" w:hAnsi="Calibri" w:eastAsia="微软雅黑"/>
          <w:b/>
          <w:i w:val="0"/>
          <w:color w:val="2980B9"/>
          <w:sz w:val="21"/>
        </w:rPr>
        <w:t>[36]</w:t>
      </w:r>
      <w:r>
        <w:rPr>
          <w:rFonts w:ascii="Calibri" w:hAnsi="Calibri" w:eastAsia="微软雅黑"/>
          <w:b w:val="0"/>
          <w:i w:val="0"/>
          <w:sz w:val="21"/>
        </w:rPr>
        <w:t xml:space="preserve"> Nivethitha Somu, M. R. Gauthama Raman, Krithi Ramamritham. A deep learning framework for building energy consumption forecast. *Renewable and Sustainable Energy Reviews*, 2020. doi:10.1016/j.rser.2020.110591.</w:t>
      </w:r>
    </w:p>
    <w:p>
      <w:r>
        <w:rPr>
          <w:rFonts w:ascii="Calibri" w:hAnsi="Calibri" w:eastAsia="微软雅黑"/>
          <w:b w:val="0"/>
          <w:i w:val="0"/>
          <w:sz w:val="21"/>
        </w:rPr>
      </w:r>
      <w:r>
        <w:rPr>
          <w:rFonts w:ascii="Calibri" w:hAnsi="Calibri" w:eastAsia="微软雅黑"/>
          <w:b/>
          <w:i w:val="0"/>
          <w:color w:val="2980B9"/>
          <w:sz w:val="21"/>
        </w:rPr>
        <w:t>[37]</w:t>
      </w:r>
      <w:r>
        <w:rPr>
          <w:rFonts w:ascii="Calibri" w:hAnsi="Calibri" w:eastAsia="微软雅黑"/>
          <w:b w:val="0"/>
          <w:i w:val="0"/>
          <w:sz w:val="21"/>
        </w:rPr>
        <w:t xml:space="preserve"> Zhe Wang, Tianzhen Hong, Mary Ann Piette. Building thermal load prediction through shallow machine learning and deep learning. *Applied Energy*, 2020. doi:10.1016/j.apenergy.2020.114683.</w:t>
      </w:r>
    </w:p>
    <w:p>
      <w:r>
        <w:rPr>
          <w:rFonts w:ascii="Calibri" w:hAnsi="Calibri" w:eastAsia="微软雅黑"/>
          <w:b w:val="0"/>
          <w:i w:val="0"/>
          <w:sz w:val="21"/>
        </w:rPr>
      </w:r>
      <w:r>
        <w:rPr>
          <w:rFonts w:ascii="Calibri" w:hAnsi="Calibri" w:eastAsia="微软雅黑"/>
          <w:b/>
          <w:i w:val="0"/>
          <w:color w:val="2980B9"/>
          <w:sz w:val="21"/>
        </w:rPr>
        <w:t>[38]</w:t>
      </w:r>
      <w:r>
        <w:rPr>
          <w:rFonts w:ascii="Calibri" w:hAnsi="Calibri" w:eastAsia="微软雅黑"/>
          <w:b w:val="0"/>
          <w:i w:val="0"/>
          <w:sz w:val="21"/>
        </w:rPr>
        <w:t xml:space="preserve"> Jatin Bedi, Durga Toshniwal. Deep learning framework to forecast electricity demand. *Applied Energy*, 2019. doi:10.1016/j.apenergy.2019.01.113.</w:t>
      </w:r>
    </w:p>
    <w:p>
      <w:r>
        <w:rPr>
          <w:rFonts w:ascii="Calibri" w:hAnsi="Calibri" w:eastAsia="微软雅黑"/>
          <w:b w:val="0"/>
          <w:i w:val="0"/>
          <w:sz w:val="21"/>
        </w:rPr>
      </w:r>
      <w:r>
        <w:rPr>
          <w:rFonts w:ascii="Calibri" w:hAnsi="Calibri" w:eastAsia="微软雅黑"/>
          <w:b/>
          <w:i w:val="0"/>
          <w:color w:val="2980B9"/>
          <w:sz w:val="21"/>
        </w:rPr>
        <w:t>[39]</w:t>
      </w:r>
      <w:r>
        <w:rPr>
          <w:rFonts w:ascii="Calibri" w:hAnsi="Calibri" w:eastAsia="微软雅黑"/>
          <w:b w:val="0"/>
          <w:i w:val="0"/>
          <w:sz w:val="21"/>
        </w:rPr>
        <w:t xml:space="preserve"> Ümit Ağbulut. Forecasting of transportation-related energy demand and CO2 emissions in Turkey with different machine learning algorithms. *Sustainable Production and Consumption*, 2021. doi:10.1016/j.spc.2021.10.001.</w:t>
      </w:r>
    </w:p>
    <w:p>
      <w:r>
        <w:rPr>
          <w:rFonts w:ascii="Calibri" w:hAnsi="Calibri" w:eastAsia="微软雅黑"/>
          <w:b w:val="0"/>
          <w:i w:val="0"/>
          <w:sz w:val="21"/>
        </w:rPr>
      </w:r>
      <w:r>
        <w:rPr>
          <w:rFonts w:ascii="Calibri" w:hAnsi="Calibri" w:eastAsia="微软雅黑"/>
          <w:b/>
          <w:i w:val="0"/>
          <w:color w:val="2980B9"/>
          <w:sz w:val="21"/>
        </w:rPr>
        <w:t>[40]</w:t>
      </w:r>
      <w:r>
        <w:rPr>
          <w:rFonts w:ascii="Calibri" w:hAnsi="Calibri" w:eastAsia="微软雅黑"/>
          <w:b w:val="0"/>
          <w:i w:val="0"/>
          <w:sz w:val="21"/>
        </w:rPr>
        <w:t xml:space="preserve"> KiJeon Nam, Soonho Hwangbo, ChangKyoo Yoo. A deep learning-based forecasting model for renewable energy scenarios to guide sustainable energy policy: A case study of Korea. *Renewable and Sustainable Energy Reviews*, 2020. doi:10.1016/j.rser.2020.109725.</w:t>
      </w:r>
    </w:p>
    <w:p>
      <w:pPr>
        <w:pStyle w:val="Heading3"/>
      </w:pPr>
      <w:r>
        <w:rPr>
          <w:rFonts w:ascii="Calibri" w:hAnsi="Calibri" w:eastAsia="微软雅黑"/>
          <w:b/>
          <w:i w:val="0"/>
          <w:color w:val="1A1A2E"/>
          <w:sz w:val="20"/>
        </w:rPr>
        <w:t>A级（优秀）</w:t>
      </w:r>
    </w:p>
    <w:p>
      <w:r>
        <w:rPr>
          <w:rFonts w:ascii="Calibri" w:hAnsi="Calibri" w:eastAsia="微软雅黑"/>
          <w:b w:val="0"/>
          <w:i w:val="0"/>
          <w:sz w:val="21"/>
        </w:rPr>
      </w:r>
      <w:r>
        <w:rPr>
          <w:rFonts w:ascii="Calibri" w:hAnsi="Calibri" w:eastAsia="微软雅黑"/>
          <w:b/>
          <w:i w:val="0"/>
          <w:color w:val="2980B9"/>
          <w:sz w:val="21"/>
        </w:rPr>
        <w:t>[31]</w:t>
      </w:r>
      <w:r>
        <w:rPr>
          <w:rFonts w:ascii="Calibri" w:hAnsi="Calibri" w:eastAsia="微软雅黑"/>
          <w:b w:val="0"/>
          <w:i w:val="0"/>
          <w:sz w:val="21"/>
        </w:rPr>
        <w:t xml:space="preserve"> Ozan Nadirgil. Carbon price prediction using multiple hybrid machine learning models optimized by genetic algorithm. *Journal of Environmental Management*, 2023. doi:10.1016/j.jenvman.2023.118061.</w:t>
      </w:r>
    </w:p>
    <w:p>
      <w:r>
        <w:rPr>
          <w:rFonts w:ascii="Calibri" w:hAnsi="Calibri" w:eastAsia="微软雅黑"/>
          <w:b w:val="0"/>
          <w:i w:val="0"/>
          <w:sz w:val="21"/>
        </w:rPr>
      </w:r>
      <w:r>
        <w:rPr>
          <w:rFonts w:ascii="Calibri" w:hAnsi="Calibri" w:eastAsia="微软雅黑"/>
          <w:b/>
          <w:i w:val="0"/>
          <w:color w:val="2980B9"/>
          <w:sz w:val="21"/>
        </w:rPr>
        <w:t>[42]</w:t>
      </w:r>
      <w:r>
        <w:rPr>
          <w:rFonts w:ascii="Calibri" w:hAnsi="Calibri" w:eastAsia="微软雅黑"/>
          <w:b w:val="0"/>
          <w:i w:val="0"/>
          <w:sz w:val="21"/>
        </w:rPr>
        <w:t xml:space="preserve"> Heng Shi, Minghao Xu, Ran Li. Deep Learning for Household Load Forecasting—A Novel Pooling Deep RNN. *IEEE Transactions on Smart Grid*, 2017. doi:10.1109/tsg.2017.2686012.</w:t>
      </w:r>
    </w:p>
    <w:p>
      <w:r>
        <w:rPr>
          <w:rFonts w:ascii="Calibri" w:hAnsi="Calibri" w:eastAsia="微软雅黑"/>
          <w:b w:val="0"/>
          <w:i w:val="0"/>
          <w:sz w:val="21"/>
        </w:rPr>
      </w:r>
      <w:r>
        <w:rPr>
          <w:rFonts w:ascii="Calibri" w:hAnsi="Calibri" w:eastAsia="微软雅黑"/>
          <w:b/>
          <w:i w:val="0"/>
          <w:color w:val="2980B9"/>
          <w:sz w:val="21"/>
        </w:rPr>
        <w:t>[43]</w:t>
      </w:r>
      <w:r>
        <w:rPr>
          <w:rFonts w:ascii="Calibri" w:hAnsi="Calibri" w:eastAsia="微软雅黑"/>
          <w:b w:val="0"/>
          <w:i w:val="0"/>
          <w:sz w:val="21"/>
        </w:rPr>
        <w:t xml:space="preserve"> Xueheng Qiu, Ye Ren, Ponnuthurai Nagaratnam Suganthan, 等. Empirical Mode Decomposition based ensemble deep learning for load demand time series forecasting. *Applied Soft Computing*, 2017. doi:10.1016/j.asoc.2017.01.015.</w:t>
      </w:r>
    </w:p>
    <w:p>
      <w:r>
        <w:rPr>
          <w:rFonts w:ascii="Calibri" w:hAnsi="Calibri" w:eastAsia="微软雅黑"/>
          <w:b w:val="0"/>
          <w:i w:val="0"/>
          <w:sz w:val="21"/>
        </w:rPr>
      </w:r>
      <w:r>
        <w:rPr>
          <w:rFonts w:ascii="Calibri" w:hAnsi="Calibri" w:eastAsia="微软雅黑"/>
          <w:b/>
          <w:i w:val="0"/>
          <w:color w:val="2980B9"/>
          <w:sz w:val="21"/>
        </w:rPr>
        <w:t>[44]</w:t>
      </w:r>
      <w:r>
        <w:rPr>
          <w:rFonts w:ascii="Calibri" w:hAnsi="Calibri" w:eastAsia="微软雅黑"/>
          <w:b w:val="0"/>
          <w:i w:val="0"/>
          <w:sz w:val="21"/>
        </w:rPr>
        <w:t xml:space="preserve"> Pratima Kumari, Durga Toshniwal. Deep learning models for solar irradiance forecasting: A comprehensive review. *Journal of Cleaner Production*, 2021. doi:10.1016/j.jclepro.2021.128566.</w:t>
      </w:r>
    </w:p>
    <w:p>
      <w:r>
        <w:rPr>
          <w:rFonts w:ascii="Calibri" w:hAnsi="Calibri" w:eastAsia="微软雅黑"/>
          <w:b w:val="0"/>
          <w:i w:val="0"/>
          <w:sz w:val="21"/>
        </w:rPr>
      </w:r>
      <w:r>
        <w:rPr>
          <w:rFonts w:ascii="Calibri" w:hAnsi="Calibri" w:eastAsia="微软雅黑"/>
          <w:b/>
          <w:i w:val="0"/>
          <w:color w:val="2980B9"/>
          <w:sz w:val="21"/>
        </w:rPr>
        <w:t>[45]</w:t>
      </w:r>
      <w:r>
        <w:rPr>
          <w:rFonts w:ascii="Calibri" w:hAnsi="Calibri" w:eastAsia="微软雅黑"/>
          <w:b w:val="0"/>
          <w:i w:val="0"/>
          <w:sz w:val="21"/>
        </w:rPr>
        <w:t xml:space="preserve"> Lulu Wen, Kaile Zhou, Shanlin Yang, 等. Optimal load dispatch of community microgrid with deep learning based solar power and load forecasting. *Energy*, 2019. doi:10.1016/j.energy.2019.01.075.</w:t>
      </w:r>
    </w:p>
    <w:p>
      <w:r>
        <w:rPr>
          <w:rFonts w:ascii="Calibri" w:hAnsi="Calibri" w:eastAsia="微软雅黑"/>
          <w:b w:val="0"/>
          <w:i w:val="0"/>
          <w:sz w:val="21"/>
        </w:rPr>
      </w:r>
      <w:r>
        <w:rPr>
          <w:rFonts w:ascii="Calibri" w:hAnsi="Calibri" w:eastAsia="微软雅黑"/>
          <w:b/>
          <w:i w:val="0"/>
          <w:color w:val="2980B9"/>
          <w:sz w:val="21"/>
        </w:rPr>
        <w:t>[46]</w:t>
      </w:r>
      <w:r>
        <w:rPr>
          <w:rFonts w:ascii="Calibri" w:hAnsi="Calibri" w:eastAsia="微软雅黑"/>
          <w:b w:val="0"/>
          <w:i w:val="0"/>
          <w:sz w:val="21"/>
        </w:rPr>
        <w:t xml:space="preserve"> Mohamad Khalil, A. Stephen McGough, Zoya Pourmirza, 等. Machine Learning, Deep Learning and Statistical Analysis for forecasting building energy consumption — A systematic review. *Engineering Applications of Artificial Intelligence*, 2022. doi:10.1016/j.engappai.2022.105287.</w:t>
      </w:r>
    </w:p>
    <w:p>
      <w:pPr>
        <w:pStyle w:val="Heading3"/>
      </w:pPr>
      <w:r>
        <w:rPr>
          <w:rFonts w:ascii="Calibri" w:hAnsi="Calibri" w:eastAsia="微软雅黑"/>
          <w:b/>
          <w:i w:val="0"/>
          <w:color w:val="1A1A2E"/>
          <w:sz w:val="20"/>
        </w:rPr>
        <w:t>B级（良好）</w:t>
      </w:r>
    </w:p>
    <w:p>
      <w:r>
        <w:rPr>
          <w:rFonts w:ascii="Calibri" w:hAnsi="Calibri" w:eastAsia="微软雅黑"/>
          <w:b w:val="0"/>
          <w:i w:val="0"/>
          <w:sz w:val="21"/>
        </w:rPr>
      </w:r>
      <w:r>
        <w:rPr>
          <w:rFonts w:ascii="Calibri" w:hAnsi="Calibri" w:eastAsia="微软雅黑"/>
          <w:b/>
          <w:i w:val="0"/>
          <w:color w:val="2980B9"/>
          <w:sz w:val="21"/>
        </w:rPr>
        <w:t>[11]</w:t>
      </w:r>
      <w:r>
        <w:rPr>
          <w:rFonts w:ascii="Calibri" w:hAnsi="Calibri" w:eastAsia="微软雅黑"/>
          <w:b w:val="0"/>
          <w:i w:val="0"/>
          <w:sz w:val="21"/>
        </w:rPr>
        <w:t xml:space="preserve"> Spyros Makridakis, Evangelos Spiliotis, Vassilios Assimakopoulos. Statistical and Machine Learning forecasting methods: Concerns and ways forward. *PLoS ONE*, 2018. doi:10.1371/journal.pone.0194889.</w:t>
      </w:r>
    </w:p>
    <w:p>
      <w:r>
        <w:rPr>
          <w:rFonts w:ascii="Calibri" w:hAnsi="Calibri" w:eastAsia="微软雅黑"/>
          <w:b w:val="0"/>
          <w:i w:val="0"/>
          <w:sz w:val="21"/>
        </w:rPr>
      </w:r>
      <w:r>
        <w:rPr>
          <w:rFonts w:ascii="Calibri" w:hAnsi="Calibri" w:eastAsia="微软雅黑"/>
          <w:b/>
          <w:i w:val="0"/>
          <w:color w:val="2980B9"/>
          <w:sz w:val="21"/>
        </w:rPr>
        <w:t>[12]</w:t>
      </w:r>
      <w:r>
        <w:rPr>
          <w:rFonts w:ascii="Calibri" w:hAnsi="Calibri" w:eastAsia="微软雅黑"/>
          <w:b w:val="0"/>
          <w:i w:val="0"/>
          <w:sz w:val="21"/>
        </w:rPr>
        <w:t xml:space="preserve"> Kamran Shaukat, Suhuai Luo, Vijay Varadharajan, 等. A Survey on Machine Learning Techniques for Cyber Security in the Last Decade. *IEEE Access*, 2020. doi:10.1109/access.2020.3041951.</w:t>
      </w:r>
    </w:p>
    <w:p>
      <w:r>
        <w:rPr>
          <w:rFonts w:ascii="Calibri" w:hAnsi="Calibri" w:eastAsia="微软雅黑"/>
          <w:b w:val="0"/>
          <w:i w:val="0"/>
          <w:sz w:val="21"/>
        </w:rPr>
      </w:r>
      <w:r>
        <w:rPr>
          <w:rFonts w:ascii="Calibri" w:hAnsi="Calibri" w:eastAsia="微软雅黑"/>
          <w:b/>
          <w:i w:val="0"/>
          <w:color w:val="2980B9"/>
          <w:sz w:val="21"/>
        </w:rPr>
        <w:t>[32]</w:t>
      </w:r>
      <w:r>
        <w:rPr>
          <w:rFonts w:ascii="Calibri" w:hAnsi="Calibri" w:eastAsia="微软雅黑"/>
          <w:b w:val="0"/>
          <w:i w:val="0"/>
          <w:sz w:val="21"/>
        </w:rPr>
        <w:t xml:space="preserve"> James E. Hansen, Pushker Kharecha, Makiko Sato, 等. Assessing “Dangerous Climate Change”: Required Reduction of Carbon Emissions to Protect Young People, Future Generations and Nature. *PLoS ONE*, 2013. doi:10.1371/journal.pone.0081648.</w:t>
      </w:r>
    </w:p>
    <w:p>
      <w:r>
        <w:rPr>
          <w:rFonts w:ascii="Calibri" w:hAnsi="Calibri" w:eastAsia="微软雅黑"/>
          <w:b w:val="0"/>
          <w:i w:val="0"/>
          <w:sz w:val="21"/>
        </w:rPr>
      </w:r>
      <w:r>
        <w:rPr>
          <w:rFonts w:ascii="Calibri" w:hAnsi="Calibri" w:eastAsia="微软雅黑"/>
          <w:b/>
          <w:i w:val="0"/>
          <w:color w:val="2980B9"/>
          <w:sz w:val="21"/>
        </w:rPr>
        <w:t>[33]</w:t>
      </w:r>
      <w:r>
        <w:rPr>
          <w:rFonts w:ascii="Calibri" w:hAnsi="Calibri" w:eastAsia="微软雅黑"/>
          <w:b w:val="0"/>
          <w:i w:val="0"/>
          <w:sz w:val="21"/>
        </w:rPr>
        <w:t xml:space="preserve"> Mohsen Shahhosseini, Guiping Hu, Isaiah Huber, 等. Coupling machine learning and crop modeling improves crop yield prediction in the US Corn Belt. *Scientific Reports*, 2021. doi:10.1038/s41598-020-80820-1.</w:t>
      </w:r>
    </w:p>
    <w:p>
      <w:r>
        <w:rPr>
          <w:rFonts w:ascii="Calibri" w:hAnsi="Calibri" w:eastAsia="微软雅黑"/>
          <w:b w:val="0"/>
          <w:i w:val="0"/>
          <w:sz w:val="21"/>
        </w:rPr>
      </w:r>
      <w:r>
        <w:rPr>
          <w:rFonts w:ascii="Calibri" w:hAnsi="Calibri" w:eastAsia="微软雅黑"/>
          <w:b/>
          <w:i w:val="0"/>
          <w:color w:val="2980B9"/>
          <w:sz w:val="21"/>
        </w:rPr>
        <w:t>[47]</w:t>
      </w:r>
      <w:r>
        <w:rPr>
          <w:rFonts w:ascii="Calibri" w:hAnsi="Calibri" w:eastAsia="微软雅黑"/>
          <w:b w:val="0"/>
          <w:i w:val="0"/>
          <w:sz w:val="21"/>
        </w:rPr>
        <w:t xml:space="preserve"> Ajay Shrestha, Ausif Mahmood. Review of Deep Learning Algorithms and Architectures. *IEEE Access*, 2019. doi:10.1109/access.2019.2912200.</w:t>
      </w:r>
    </w:p>
    <w:p>
      <w:r>
        <w:rPr>
          <w:rFonts w:ascii="Calibri" w:hAnsi="Calibri" w:eastAsia="微软雅黑"/>
          <w:b w:val="0"/>
          <w:i w:val="0"/>
          <w:sz w:val="21"/>
        </w:rPr>
      </w:r>
      <w:r>
        <w:rPr>
          <w:rFonts w:ascii="Calibri" w:hAnsi="Calibri" w:eastAsia="微软雅黑"/>
          <w:b/>
          <w:i w:val="0"/>
          <w:color w:val="2980B9"/>
          <w:sz w:val="21"/>
        </w:rPr>
        <w:t>[48]</w:t>
      </w:r>
      <w:r>
        <w:rPr>
          <w:rFonts w:ascii="Calibri" w:hAnsi="Calibri" w:eastAsia="微软雅黑"/>
          <w:b w:val="0"/>
          <w:i w:val="0"/>
          <w:sz w:val="21"/>
        </w:rPr>
        <w:t xml:space="preserve"> Mohammad Mahdi Forootan, Iman Larki, Rahim Zahedi, 等. Machine Learning and Deep Learning in Energy Systems: A Review. *Sustainability*, 2022. doi:10.3390/su14084832.</w:t>
      </w:r>
    </w:p>
    <w:p>
      <w:r>
        <w:rPr>
          <w:rFonts w:ascii="Calibri" w:hAnsi="Calibri" w:eastAsia="微软雅黑"/>
          <w:b w:val="0"/>
          <w:i w:val="0"/>
          <w:sz w:val="21"/>
        </w:rPr>
      </w:r>
      <w:r>
        <w:rPr>
          <w:rFonts w:ascii="Calibri" w:hAnsi="Calibri" w:eastAsia="微软雅黑"/>
          <w:b/>
          <w:i w:val="0"/>
          <w:color w:val="2980B9"/>
          <w:sz w:val="21"/>
        </w:rPr>
        <w:t>[49]</w:t>
      </w:r>
      <w:r>
        <w:rPr>
          <w:rFonts w:ascii="Calibri" w:hAnsi="Calibri" w:eastAsia="微软雅黑"/>
          <w:b w:val="0"/>
          <w:i w:val="0"/>
          <w:sz w:val="21"/>
        </w:rPr>
        <w:t xml:space="preserve"> Raniyah Wazirali, Elnaz Yaghoubi, Mohammed Shadi S. Abujazar, 等. State-of-the-art review on energy and load forecasting in microgrids using artificial neural networks, machine learning, and deep learning techniques. *Electric Power Systems Research*, 2023. doi:10.1016/j.epsr.2023.109792.</w:t>
      </w:r>
    </w:p>
    <w:p>
      <w:r>
        <w:rPr>
          <w:rFonts w:ascii="Calibri" w:hAnsi="Calibri" w:eastAsia="微软雅黑"/>
          <w:b w:val="0"/>
          <w:i w:val="0"/>
          <w:sz w:val="21"/>
        </w:rPr>
      </w:r>
      <w:r>
        <w:rPr>
          <w:rFonts w:ascii="Calibri" w:hAnsi="Calibri" w:eastAsia="微软雅黑"/>
          <w:b/>
          <w:i w:val="0"/>
          <w:color w:val="2980B9"/>
          <w:sz w:val="21"/>
        </w:rPr>
        <w:t>[50]</w:t>
      </w:r>
      <w:r>
        <w:rPr>
          <w:rFonts w:ascii="Calibri" w:hAnsi="Calibri" w:eastAsia="微软雅黑"/>
          <w:b w:val="0"/>
          <w:i w:val="0"/>
          <w:sz w:val="21"/>
        </w:rPr>
        <w:t xml:space="preserve"> Lulu Wen, Kaile Zhou, Shanlin Yang. Load demand forecasting of residential buildings using a deep learning model. *Electric Power Systems Research*, 2019. doi:10.1016/j.epsr.2019.106073.</w:t>
      </w:r>
    </w:p>
    <w:p/>
    <w:p>
      <w:pPr>
        <w:jc w:val="center"/>
      </w:pPr>
      <w:r>
        <w:rPr>
          <w:rFonts w:ascii="Calibri" w:hAnsi="Calibri" w:eastAsia="微软雅黑"/>
          <w:b w:val="0"/>
          <w:i/>
          <w:color w:val="AAAAAA"/>
          <w:sz w:val="16"/>
        </w:rPr>
        <w:t>— Consensus Pipeline 生成 —</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80"/>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