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微软雅黑"/>
          <w:b/>
          <w:i w:val="0"/>
          <w:color w:val="1A1A2E"/>
          <w:sz w:val="28"/>
        </w:rPr>
        <w:t>机器学习在能源经济学上的运用</w:t>
      </w:r>
    </w:p>
    <w:p>
      <w:pPr>
        <w:ind w:left="567"/>
      </w:pPr>
      <w:r>
        <w:rPr>
          <w:rFonts w:ascii="Calibri" w:hAnsi="Calibri" w:eastAsia="微软雅黑"/>
          <w:b w:val="0"/>
          <w:i/>
          <w:color w:val="555555"/>
          <w:sz w:val="21"/>
        </w:rPr>
        <w:t>学术动向综述 | Consensus Pipeline v5 | 2026年07月16日</w:t>
      </w:r>
    </w:p>
    <w:p>
      <w:pPr>
        <w:pStyle w:val="Heading2"/>
      </w:pPr>
      <w:r>
        <w:rPr>
          <w:rFonts w:ascii="Calibri" w:hAnsi="Calibri" w:eastAsia="微软雅黑"/>
          <w:b/>
          <w:i w:val="0"/>
          <w:color w:val="1A1A2E"/>
          <w:sz w:val="24"/>
        </w:rPr>
        <w:t>数据卡片</w:t>
      </w:r>
    </w:p>
    <w:tbl>
      <w:tblPr>
        <w:tblStyle w:val="LightGrid-Accent1"/>
        <w:tblW w:type="auto" w:w="0"/>
        <w:jc w:val="center"/>
        <w:tblLook w:firstColumn="1" w:firstRow="1" w:lastColumn="0" w:lastRow="0" w:noHBand="0" w:noVBand="1" w:val="04A0"/>
      </w:tblPr>
      <w:tblGrid>
        <w:gridCol w:w="4533"/>
        <w:gridCol w:w="4533"/>
      </w:tblGrid>
      <w:tr>
        <w:tc>
          <w:tcPr>
            <w:tcW w:type="dxa" w:w="4533"/>
          </w:tcPr>
          <w:p>
            <w:r/>
            <w:r>
              <w:rPr>
                <w:rFonts w:ascii="Calibri" w:hAnsi="Calibri" w:eastAsia="微软雅黑"/>
                <w:b/>
                <w:i w:val="0"/>
                <w:color w:val="FFFFFF"/>
                <w:sz w:val="19"/>
              </w:rPr>
              <w:t>指标</w:t>
            </w:r>
          </w:p>
        </w:tc>
        <w:tc>
          <w:tcPr>
            <w:tcW w:type="dxa" w:w="4533"/>
          </w:tcPr>
          <w:p>
            <w:r/>
            <w:r>
              <w:rPr>
                <w:rFonts w:ascii="Calibri" w:hAnsi="Calibri" w:eastAsia="微软雅黑"/>
                <w:b/>
                <w:i w:val="0"/>
                <w:color w:val="FFFFFF"/>
                <w:sz w:val="19"/>
              </w:rPr>
              <w:t>值</w:t>
            </w:r>
          </w:p>
        </w:tc>
      </w:tr>
      <w:tr>
        <w:tc>
          <w:tcPr>
            <w:tcW w:type="dxa" w:w="4533"/>
          </w:tcPr>
          <w:p>
            <w:r/>
            <w:r>
              <w:rPr>
                <w:rFonts w:ascii="Calibri" w:hAnsi="Calibri" w:eastAsia="微软雅黑"/>
                <w:b w:val="0"/>
                <w:i w:val="0"/>
                <w:sz w:val="18"/>
              </w:rPr>
              <w:t>检索论文数</w:t>
            </w:r>
          </w:p>
        </w:tc>
        <w:tc>
          <w:tcPr>
            <w:tcW w:type="dxa" w:w="4533"/>
          </w:tcPr>
          <w:p>
            <w:r/>
            <w:r>
              <w:rPr>
                <w:rFonts w:ascii="Calibri" w:hAnsi="Calibri" w:eastAsia="微软雅黑"/>
                <w:b w:val="0"/>
                <w:i w:val="0"/>
                <w:sz w:val="18"/>
              </w:rPr>
              <w:t>67</w:t>
            </w:r>
          </w:p>
        </w:tc>
      </w:tr>
      <w:tr>
        <w:tc>
          <w:tcPr>
            <w:tcW w:type="dxa" w:w="4533"/>
          </w:tcPr>
          <w:p>
            <w:r/>
            <w:r>
              <w:rPr>
                <w:rFonts w:ascii="Calibri" w:hAnsi="Calibri" w:eastAsia="微软雅黑"/>
                <w:b w:val="0"/>
                <w:i w:val="0"/>
                <w:sz w:val="18"/>
              </w:rPr>
              <w:t>S级</w:t>
            </w:r>
          </w:p>
        </w:tc>
        <w:tc>
          <w:tcPr>
            <w:tcW w:type="dxa" w:w="4533"/>
          </w:tcPr>
          <w:p>
            <w:r/>
            <w:r>
              <w:rPr>
                <w:rFonts w:ascii="Calibri" w:hAnsi="Calibri" w:eastAsia="微软雅黑"/>
                <w:b w:val="0"/>
                <w:i w:val="0"/>
                <w:sz w:val="18"/>
              </w:rPr>
              <w:t>41</w:t>
            </w:r>
          </w:p>
        </w:tc>
      </w:tr>
      <w:tr>
        <w:tc>
          <w:tcPr>
            <w:tcW w:type="dxa" w:w="4533"/>
          </w:tcPr>
          <w:p>
            <w:r/>
            <w:r>
              <w:rPr>
                <w:rFonts w:ascii="Calibri" w:hAnsi="Calibri" w:eastAsia="微软雅黑"/>
                <w:b w:val="0"/>
                <w:i w:val="0"/>
                <w:sz w:val="18"/>
              </w:rPr>
              <w:t>A级</w:t>
            </w:r>
          </w:p>
        </w:tc>
        <w:tc>
          <w:tcPr>
            <w:tcW w:type="dxa" w:w="4533"/>
          </w:tcPr>
          <w:p>
            <w:r/>
            <w:r>
              <w:rPr>
                <w:rFonts w:ascii="Calibri" w:hAnsi="Calibri" w:eastAsia="微软雅黑"/>
                <w:b w:val="0"/>
                <w:i w:val="0"/>
                <w:sz w:val="18"/>
              </w:rPr>
              <w:t>13</w:t>
            </w:r>
          </w:p>
        </w:tc>
      </w:tr>
      <w:tr>
        <w:tc>
          <w:tcPr>
            <w:tcW w:type="dxa" w:w="4533"/>
          </w:tcPr>
          <w:p>
            <w:r/>
            <w:r>
              <w:rPr>
                <w:rFonts w:ascii="Calibri" w:hAnsi="Calibri" w:eastAsia="微软雅黑"/>
                <w:b w:val="0"/>
                <w:i w:val="0"/>
                <w:sz w:val="18"/>
              </w:rPr>
              <w:t>B级</w:t>
            </w:r>
          </w:p>
        </w:tc>
        <w:tc>
          <w:tcPr>
            <w:tcW w:type="dxa" w:w="4533"/>
          </w:tcPr>
          <w:p>
            <w:r/>
            <w:r>
              <w:rPr>
                <w:rFonts w:ascii="Calibri" w:hAnsi="Calibri" w:eastAsia="微软雅黑"/>
                <w:b w:val="0"/>
                <w:i w:val="0"/>
                <w:sz w:val="18"/>
              </w:rPr>
              <w:t>13</w:t>
            </w:r>
          </w:p>
        </w:tc>
      </w:tr>
      <w:tr>
        <w:tc>
          <w:tcPr>
            <w:tcW w:type="dxa" w:w="4533"/>
          </w:tcPr>
          <w:p>
            <w:r/>
            <w:r>
              <w:rPr>
                <w:rFonts w:ascii="Calibri" w:hAnsi="Calibri" w:eastAsia="微软雅黑"/>
                <w:b w:val="0"/>
                <w:i w:val="0"/>
                <w:sz w:val="18"/>
              </w:rPr>
              <w:t>时间跨度</w:t>
            </w:r>
          </w:p>
        </w:tc>
        <w:tc>
          <w:tcPr>
            <w:tcW w:type="dxa" w:w="4533"/>
          </w:tcPr>
          <w:p>
            <w:r/>
            <w:r>
              <w:rPr>
                <w:rFonts w:ascii="Calibri" w:hAnsi="Calibri" w:eastAsia="微软雅黑"/>
                <w:b w:val="0"/>
                <w:i w:val="0"/>
                <w:sz w:val="18"/>
              </w:rPr>
              <w:t>2003-2023</w:t>
            </w:r>
          </w:p>
        </w:tc>
      </w:tr>
      <w:tr>
        <w:tc>
          <w:tcPr>
            <w:tcW w:type="dxa" w:w="4533"/>
          </w:tcPr>
          <w:p>
            <w:r/>
            <w:r>
              <w:rPr>
                <w:rFonts w:ascii="Calibri" w:hAnsi="Calibri" w:eastAsia="微软雅黑"/>
                <w:b w:val="0"/>
                <w:i w:val="0"/>
                <w:sz w:val="18"/>
              </w:rPr>
              <w:t>方法类别数</w:t>
            </w:r>
          </w:p>
        </w:tc>
        <w:tc>
          <w:tcPr>
            <w:tcW w:type="dxa" w:w="4533"/>
          </w:tcPr>
          <w:p>
            <w:r/>
            <w:r>
              <w:rPr>
                <w:rFonts w:ascii="Calibri" w:hAnsi="Calibri" w:eastAsia="微软雅黑"/>
                <w:b w:val="0"/>
                <w:i w:val="0"/>
                <w:sz w:val="18"/>
              </w:rPr>
              <w:t>10</w:t>
            </w:r>
          </w:p>
        </w:tc>
      </w:tr>
      <w:tr>
        <w:tc>
          <w:tcPr>
            <w:tcW w:type="dxa" w:w="4533"/>
          </w:tcPr>
          <w:p>
            <w:r/>
            <w:r>
              <w:rPr>
                <w:rFonts w:ascii="Calibri" w:hAnsi="Calibri" w:eastAsia="微软雅黑"/>
                <w:b w:val="0"/>
                <w:i w:val="0"/>
                <w:sz w:val="18"/>
              </w:rPr>
              <w:t>预印本数</w:t>
            </w:r>
          </w:p>
        </w:tc>
        <w:tc>
          <w:tcPr>
            <w:tcW w:type="dxa" w:w="4533"/>
          </w:tcPr>
          <w:p>
            <w:r/>
            <w:r>
              <w:rPr>
                <w:rFonts w:ascii="Calibri" w:hAnsi="Calibri" w:eastAsia="微软雅黑"/>
                <w:b w:val="0"/>
                <w:i w:val="0"/>
                <w:sz w:val="18"/>
              </w:rPr>
              <w:t>9</w:t>
            </w:r>
          </w:p>
        </w:tc>
      </w:tr>
      <w:tr>
        <w:tc>
          <w:tcPr>
            <w:tcW w:type="dxa" w:w="4533"/>
          </w:tcPr>
          <w:p>
            <w:r/>
            <w:r>
              <w:rPr>
                <w:rFonts w:ascii="Calibri" w:hAnsi="Calibri" w:eastAsia="微软雅黑"/>
                <w:b w:val="0"/>
                <w:i w:val="0"/>
                <w:sz w:val="18"/>
              </w:rPr>
              <w:t>与主题直接相关论文</w:t>
            </w:r>
          </w:p>
        </w:tc>
        <w:tc>
          <w:tcPr>
            <w:tcW w:type="dxa" w:w="4533"/>
          </w:tcPr>
          <w:p>
            <w:r/>
            <w:r>
              <w:rPr>
                <w:rFonts w:ascii="Calibri" w:hAnsi="Calibri" w:eastAsia="微软雅黑"/>
                <w:b w:val="0"/>
                <w:i w:val="0"/>
                <w:sz w:val="18"/>
              </w:rPr>
              <w:t>32</w:t>
            </w:r>
          </w:p>
        </w:tc>
      </w:tr>
      <w:tr>
        <w:tc>
          <w:tcPr>
            <w:tcW w:type="dxa" w:w="4533"/>
          </w:tcPr>
          <w:p>
            <w:r/>
            <w:r>
              <w:rPr>
                <w:rFonts w:ascii="Calibri" w:hAnsi="Calibri" w:eastAsia="微软雅黑"/>
                <w:b w:val="0"/>
                <w:i w:val="0"/>
                <w:sz w:val="18"/>
              </w:rPr>
              <w:t>交叉验证辩论参与部门</w:t>
            </w:r>
          </w:p>
        </w:tc>
        <w:tc>
          <w:tcPr>
            <w:tcW w:type="dxa" w:w="4533"/>
          </w:tcPr>
          <w:p>
            <w:r/>
            <w:r>
              <w:rPr>
                <w:rFonts w:ascii="Calibri" w:hAnsi="Calibri" w:eastAsia="微软雅黑"/>
                <w:b w:val="0"/>
                <w:i w:val="0"/>
                <w:sz w:val="18"/>
              </w:rPr>
              <w:t>8</w:t>
            </w:r>
          </w:p>
        </w:tc>
      </w:tr>
    </w:tbl>
    <w:p/>
    <w:p>
      <w:pPr>
        <w:pStyle w:val="Heading2"/>
      </w:pPr>
      <w:r>
        <w:rPr>
          <w:rFonts w:ascii="Calibri" w:hAnsi="Calibri" w:eastAsia="微软雅黑"/>
          <w:b/>
          <w:i w:val="0"/>
          <w:color w:val="1A1A2E"/>
          <w:sz w:val="24"/>
        </w:rPr>
        <w:t>一、研究概况与发展脉络</w:t>
      </w:r>
    </w:p>
    <w:p>
      <w:r>
        <w:rPr>
          <w:rFonts w:ascii="Calibri" w:hAnsi="Calibri" w:eastAsia="微软雅黑"/>
          <w:b w:val="0"/>
          <w:i w:val="0"/>
          <w:sz w:val="21"/>
        </w:rPr>
        <w:t>机器学习与能源经济学的交叉融合，经历了一个从统计模型奠基到深度学习革命、再到混合范式崛起的过程。纵览2003年至2023年的文献分布，该领域呈现出三个明显的演化阶段。</w:t>
      </w:r>
    </w:p>
    <w:p>
      <w:r>
        <w:rPr>
          <w:rFonts w:ascii="Calibri" w:hAnsi="Calibri" w:eastAsia="微软雅黑"/>
          <w:b w:val="0"/>
          <w:i w:val="0"/>
          <w:sz w:val="21"/>
        </w:rPr>
      </w:r>
      <w:r>
        <w:rPr>
          <w:rFonts w:ascii="Calibri" w:hAnsi="Calibri" w:eastAsia="微软雅黑"/>
          <w:b/>
          <w:i w:val="0"/>
          <w:sz w:val="21"/>
        </w:rPr>
        <w:t>第一阶段（2003–2014年）：统计模型与浅层机器学习的奠基期。</w:t>
      </w:r>
      <w:r>
        <w:rPr>
          <w:rFonts w:ascii="Calibri" w:hAnsi="Calibri" w:eastAsia="微软雅黑"/>
          <w:b w:val="0"/>
          <w:i w:val="0"/>
          <w:sz w:val="21"/>
        </w:rPr>
        <w:t xml:space="preserve"> 在深度学习普及之前，能源经济学研究主要依赖传统时间序列模型。Gower</w:t>
      </w:r>
      <w:r>
        <w:rPr>
          <w:rFonts w:ascii="Calibri" w:hAnsi="Calibri" w:eastAsia="微软雅黑"/>
          <w:b/>
          <w:i w:val="0"/>
          <w:color w:val="2980B9"/>
          <w:sz w:val="21"/>
        </w:rPr>
        <w:t>[37]</w:t>
      </w:r>
      <w:r>
        <w:rPr>
          <w:rFonts w:ascii="Calibri" w:hAnsi="Calibri" w:eastAsia="微软雅黑"/>
          <w:b w:val="0"/>
          <w:i w:val="0"/>
          <w:sz w:val="21"/>
        </w:rPr>
        <w:t>于2003年系统梳理了森林碳循环的模式与机制，为碳通量预测提供了理论框架，但该研究并未引入机器学习方法。Armaroli与Balzani</w:t>
      </w:r>
      <w:r>
        <w:rPr>
          <w:rFonts w:ascii="Calibri" w:hAnsi="Calibri" w:eastAsia="微软雅黑"/>
          <w:b/>
          <w:i w:val="0"/>
          <w:color w:val="2980B9"/>
          <w:sz w:val="21"/>
        </w:rPr>
        <w:t>[5]</w:t>
      </w:r>
      <w:r>
        <w:rPr>
          <w:rFonts w:ascii="Calibri" w:hAnsi="Calibri" w:eastAsia="微软雅黑"/>
          <w:b w:val="0"/>
          <w:i w:val="0"/>
          <w:sz w:val="21"/>
        </w:rPr>
        <w:t>于2006年展望了未来能源供应的挑战与机遇，指出能源系统复杂性需要更强的分析工具，为后续方法创新埋下伏笔。Hashim等人</w:t>
      </w:r>
      <w:r>
        <w:rPr>
          <w:rFonts w:ascii="Calibri" w:hAnsi="Calibri" w:eastAsia="微软雅黑"/>
          <w:b/>
          <w:i w:val="0"/>
          <w:color w:val="2980B9"/>
          <w:sz w:val="21"/>
        </w:rPr>
        <w:t>[4]</w:t>
      </w:r>
      <w:r>
        <w:rPr>
          <w:rFonts w:ascii="Calibri" w:hAnsi="Calibri" w:eastAsia="微软雅黑"/>
          <w:b w:val="0"/>
          <w:i w:val="0"/>
          <w:sz w:val="21"/>
        </w:rPr>
        <w:t>在2011年探讨了碳捕获与封存的前景，但受限于当时的信息技术条件，其分析主要基于工程经济学框架。这一时期，统计模型（ARIMA、GARCH）是能源负荷和碳排放预测的主流工具，预测精度MAPE通常在8%-15%之间，模型具有较高的可解释性但难以捕捉复杂非线性关系。</w:t>
      </w:r>
    </w:p>
    <w:p>
      <w:r>
        <w:rPr>
          <w:rFonts w:ascii="Calibri" w:hAnsi="Calibri" w:eastAsia="微软雅黑"/>
          <w:b w:val="0"/>
          <w:i w:val="0"/>
          <w:sz w:val="21"/>
        </w:rPr>
      </w:r>
      <w:r>
        <w:rPr>
          <w:rFonts w:ascii="Calibri" w:hAnsi="Calibri" w:eastAsia="微软雅黑"/>
          <w:b/>
          <w:i w:val="0"/>
          <w:sz w:val="21"/>
        </w:rPr>
        <w:t>第二阶段（2015–2019年）：深度学习方法的爆发性引入。</w:t>
      </w:r>
      <w:r>
        <w:rPr>
          <w:rFonts w:ascii="Calibri" w:hAnsi="Calibri" w:eastAsia="微软雅黑"/>
          <w:b w:val="0"/>
          <w:i w:val="0"/>
          <w:sz w:val="21"/>
        </w:rPr>
        <w:t xml:space="preserve"> 这是该领域研究热度的陡峭爬坡期。2015年，Frank等人</w:t>
      </w:r>
      <w:r>
        <w:rPr>
          <w:rFonts w:ascii="Calibri" w:hAnsi="Calibri" w:eastAsia="微软雅黑"/>
          <w:b/>
          <w:i w:val="0"/>
          <w:color w:val="2980B9"/>
          <w:sz w:val="21"/>
        </w:rPr>
        <w:t>[22]</w:t>
      </w:r>
      <w:r>
        <w:rPr>
          <w:rFonts w:ascii="Calibri" w:hAnsi="Calibri" w:eastAsia="微软雅黑"/>
          <w:b w:val="0"/>
          <w:i w:val="0"/>
          <w:sz w:val="21"/>
        </w:rPr>
        <w:t>研究了气候极端事件对陆地碳循环的影响，其分析模型首次显式整合了机器学习方法以处理多维环境数据。2017年，Shi等人</w:t>
      </w:r>
      <w:r>
        <w:rPr>
          <w:rFonts w:ascii="Calibri" w:hAnsi="Calibri" w:eastAsia="微软雅黑"/>
          <w:b/>
          <w:i w:val="0"/>
          <w:color w:val="2980B9"/>
          <w:sz w:val="21"/>
        </w:rPr>
        <w:t>[59]</w:t>
      </w:r>
      <w:r>
        <w:rPr>
          <w:rFonts w:ascii="Calibri" w:hAnsi="Calibri" w:eastAsia="微软雅黑"/>
          <w:b w:val="0"/>
          <w:i w:val="0"/>
          <w:sz w:val="21"/>
        </w:rPr>
        <w:t>提出了基于池化深度RNN的家庭负荷预测框架，在爱尔兰公开数据集上实现了MAPE优于传统统计方法约30%的突破，标志着深度学习正式进入能源负荷预测领域。同年，Qiu等人</w:t>
      </w:r>
      <w:r>
        <w:rPr>
          <w:rFonts w:ascii="Calibri" w:hAnsi="Calibri" w:eastAsia="微软雅黑"/>
          <w:b/>
          <w:i w:val="0"/>
          <w:color w:val="2980B9"/>
          <w:sz w:val="21"/>
        </w:rPr>
        <w:t>[60]</w:t>
      </w:r>
      <w:r>
        <w:rPr>
          <w:rFonts w:ascii="Calibri" w:hAnsi="Calibri" w:eastAsia="微软雅黑"/>
          <w:b w:val="0"/>
          <w:i w:val="0"/>
          <w:sz w:val="21"/>
        </w:rPr>
        <w:t>将经验模态分解与集成深度学习结合，在电力需求预测中MAPE达到4.2%，较单一LSTM降低了1.8个百分点。2018年，Veers等人</w:t>
      </w:r>
      <w:r>
        <w:rPr>
          <w:rFonts w:ascii="Calibri" w:hAnsi="Calibri" w:eastAsia="微软雅黑"/>
          <w:b/>
          <w:i w:val="0"/>
          <w:color w:val="2980B9"/>
          <w:sz w:val="21"/>
        </w:rPr>
        <w:t>[8]</w:t>
      </w:r>
      <w:r>
        <w:rPr>
          <w:rFonts w:ascii="Calibri" w:hAnsi="Calibri" w:eastAsia="微软雅黑"/>
          <w:b w:val="0"/>
          <w:i w:val="0"/>
          <w:sz w:val="21"/>
        </w:rPr>
        <w:t>系统提出了风能科学面临的重大挑战，其中明确将机器学习列为突破预测瓶颈的关键路径。François-Lavet等人</w:t>
      </w:r>
      <w:r>
        <w:rPr>
          <w:rFonts w:ascii="Calibri" w:hAnsi="Calibri" w:eastAsia="微软雅黑"/>
          <w:b/>
          <w:i w:val="0"/>
          <w:color w:val="2980B9"/>
          <w:sz w:val="21"/>
        </w:rPr>
        <w:t>[7]</w:t>
      </w:r>
      <w:r>
        <w:rPr>
          <w:rFonts w:ascii="Calibri" w:hAnsi="Calibri" w:eastAsia="微软雅黑"/>
          <w:b w:val="0"/>
          <w:i w:val="0"/>
          <w:sz w:val="21"/>
        </w:rPr>
        <w:t>出版的深度强化学习专著为能源系统优化控制提供了方法论基础。2018年，Aslam等人</w:t>
      </w:r>
      <w:r>
        <w:rPr>
          <w:rFonts w:ascii="Calibri" w:hAnsi="Calibri" w:eastAsia="微软雅黑"/>
          <w:b/>
          <w:i w:val="0"/>
          <w:color w:val="2980B9"/>
          <w:sz w:val="21"/>
        </w:rPr>
        <w:t>[51]</w:t>
      </w:r>
      <w:r>
        <w:rPr>
          <w:rFonts w:ascii="Calibri" w:hAnsi="Calibri" w:eastAsia="微软雅黑"/>
          <w:b w:val="0"/>
          <w:i w:val="0"/>
          <w:sz w:val="21"/>
        </w:rPr>
        <w:t>对深度学习方法在电力负荷与可再生能源预测中的应用进行了系统综述，覆盖超过150篇文献，将该领域的方法论地图完整呈现。Makridakis等人</w:t>
      </w:r>
      <w:r>
        <w:rPr>
          <w:rFonts w:ascii="Calibri" w:hAnsi="Calibri" w:eastAsia="微软雅黑"/>
          <w:b/>
          <w:i w:val="0"/>
          <w:color w:val="2980B9"/>
          <w:sz w:val="21"/>
        </w:rPr>
        <w:t>[18]</w:t>
      </w:r>
      <w:r>
        <w:rPr>
          <w:rFonts w:ascii="Calibri" w:hAnsi="Calibri" w:eastAsia="微软雅黑"/>
          <w:b w:val="0"/>
          <w:i w:val="0"/>
          <w:sz w:val="21"/>
        </w:rPr>
        <w:t>在这一年发出重要警告，指出统计与机器学习预测方法存在显著的不稳定性，深度学习并非在所有场景下优于简单模型，该文在PLoS ONE发表的被引次数超过1400次，成为方法论争议的里程碑。2019年，Ghoddusi等人</w:t>
      </w:r>
      <w:r>
        <w:rPr>
          <w:rFonts w:ascii="Calibri" w:hAnsi="Calibri" w:eastAsia="微软雅黑"/>
          <w:b/>
          <w:i w:val="0"/>
          <w:color w:val="2980B9"/>
          <w:sz w:val="21"/>
        </w:rPr>
        <w:t>[14]</w:t>
      </w:r>
      <w:r>
        <w:rPr>
          <w:rFonts w:ascii="Calibri" w:hAnsi="Calibri" w:eastAsia="微软雅黑"/>
          <w:b w:val="0"/>
          <w:i w:val="0"/>
          <w:sz w:val="21"/>
        </w:rPr>
        <w:t>发表了《Machine learning in energy economics and finance: A review》，被引431次，首次将机器学习在能源经济学中的应用进行了系统性综述，从价格预测、需求估计到风险管理，构建了完整的应用框架。同年，Bedi与Toshniwal</w:t>
      </w:r>
      <w:r>
        <w:rPr>
          <w:rFonts w:ascii="Calibri" w:hAnsi="Calibri" w:eastAsia="微软雅黑"/>
          <w:b/>
          <w:i w:val="0"/>
          <w:color w:val="2980B9"/>
          <w:sz w:val="21"/>
        </w:rPr>
        <w:t>[54]</w:t>
      </w:r>
      <w:r>
        <w:rPr>
          <w:rFonts w:ascii="Calibri" w:hAnsi="Calibri" w:eastAsia="微软雅黑"/>
          <w:b w:val="0"/>
          <w:i w:val="0"/>
          <w:sz w:val="21"/>
        </w:rPr>
        <w:t>提出的深度学习电力需求预测框架在印度数据集上实现了MAPE=3.8%。Kumari等人</w:t>
      </w:r>
      <w:r>
        <w:rPr>
          <w:rFonts w:ascii="Calibri" w:hAnsi="Calibri" w:eastAsia="微软雅黑"/>
          <w:b/>
          <w:i w:val="0"/>
          <w:color w:val="2980B9"/>
          <w:sz w:val="21"/>
        </w:rPr>
        <w:t>[61]</w:t>
      </w:r>
      <w:r>
        <w:rPr>
          <w:rFonts w:ascii="Calibri" w:hAnsi="Calibri" w:eastAsia="微软雅黑"/>
          <w:b w:val="0"/>
          <w:i w:val="0"/>
          <w:sz w:val="21"/>
        </w:rPr>
        <w:t>对太阳能辐照度预测的深度学习模型进行了全面综述，指出CNN-LSTM混合模型在RMSE上较独立CNN降低了约15%。值得关注的是，2019年也是可解释人工智能（XAI）概念成熟的关键节点，Barredo Arrieta等人</w:t>
      </w:r>
      <w:r>
        <w:rPr>
          <w:rFonts w:ascii="Calibri" w:hAnsi="Calibri" w:eastAsia="微软雅黑"/>
          <w:b/>
          <w:i w:val="0"/>
          <w:color w:val="2980B9"/>
          <w:sz w:val="21"/>
        </w:rPr>
        <w:t>[1]</w:t>
      </w:r>
      <w:r>
        <w:rPr>
          <w:rFonts w:ascii="Calibri" w:hAnsi="Calibri" w:eastAsia="微软雅黑"/>
          <w:b w:val="0"/>
          <w:i w:val="0"/>
          <w:sz w:val="21"/>
        </w:rPr>
        <w:t>在Information Fusion上发表了被引超过9000次的XAI综述，为后续能源经济学模型的可解释性要求提供了理论武器。</w:t>
      </w:r>
    </w:p>
    <w:p>
      <w:r>
        <w:rPr>
          <w:rFonts w:ascii="Calibri" w:hAnsi="Calibri" w:eastAsia="微软雅黑"/>
          <w:b w:val="0"/>
          <w:i w:val="0"/>
          <w:sz w:val="21"/>
        </w:rPr>
      </w:r>
      <w:r>
        <w:rPr>
          <w:rFonts w:ascii="Calibri" w:hAnsi="Calibri" w:eastAsia="微软雅黑"/>
          <w:b/>
          <w:i w:val="0"/>
          <w:sz w:val="21"/>
        </w:rPr>
        <w:t>第三阶段（2020–2023年）：混合模型与物理信息融合的成熟期。</w:t>
      </w:r>
      <w:r>
        <w:rPr>
          <w:rFonts w:ascii="Calibri" w:hAnsi="Calibri" w:eastAsia="微软雅黑"/>
          <w:b w:val="0"/>
          <w:i w:val="0"/>
          <w:sz w:val="21"/>
        </w:rPr>
        <w:t xml:space="preserve"> 进入2020年代后，研究热度达到最高峰。2020年，Antonopoulos等人</w:t>
      </w:r>
      <w:r>
        <w:rPr>
          <w:rFonts w:ascii="Calibri" w:hAnsi="Calibri" w:eastAsia="微软雅黑"/>
          <w:b/>
          <w:i w:val="0"/>
          <w:color w:val="2980B9"/>
          <w:sz w:val="21"/>
        </w:rPr>
        <w:t>[12]</w:t>
      </w:r>
      <w:r>
        <w:rPr>
          <w:rFonts w:ascii="Calibri" w:hAnsi="Calibri" w:eastAsia="微软雅黑"/>
          <w:b w:val="0"/>
          <w:i w:val="0"/>
          <w:sz w:val="21"/>
        </w:rPr>
        <w:t>对人工智能与机器学习方法在能源需求侧响应中的应用进行了系统综述，被引618次，将用户行为分析与机器学习深度结合。Somu等人</w:t>
      </w:r>
      <w:r>
        <w:rPr>
          <w:rFonts w:ascii="Calibri" w:hAnsi="Calibri" w:eastAsia="微软雅黑"/>
          <w:b/>
          <w:i w:val="0"/>
          <w:color w:val="2980B9"/>
          <w:sz w:val="21"/>
        </w:rPr>
        <w:t>[52]</w:t>
      </w:r>
      <w:r>
        <w:rPr>
          <w:rFonts w:ascii="Calibri" w:hAnsi="Calibri" w:eastAsia="微软雅黑"/>
          <w:b w:val="0"/>
          <w:i w:val="0"/>
          <w:sz w:val="21"/>
        </w:rPr>
        <w:t>提出了建筑能耗预测的深度学习框架，在数据集上R²达到0.94，较传统BP神经网络提升了约8个百分点。Wang等人</w:t>
      </w:r>
      <w:r>
        <w:rPr>
          <w:rFonts w:ascii="Calibri" w:hAnsi="Calibri" w:eastAsia="微软雅黑"/>
          <w:b/>
          <w:i w:val="0"/>
          <w:color w:val="2980B9"/>
          <w:sz w:val="21"/>
        </w:rPr>
        <w:t>[53]</w:t>
      </w:r>
      <w:r>
        <w:rPr>
          <w:rFonts w:ascii="Calibri" w:hAnsi="Calibri" w:eastAsia="微软雅黑"/>
          <w:b w:val="0"/>
          <w:i w:val="0"/>
          <w:sz w:val="21"/>
        </w:rPr>
        <w:t>对比了浅层机器学习与深度学习方法在建筑热负荷预测中的表现，发现在小样本（&lt;1000点）场景下，浅层模型的泛化误差更低，这一发现呼应了Makridakis</w:t>
      </w:r>
      <w:r>
        <w:rPr>
          <w:rFonts w:ascii="Calibri" w:hAnsi="Calibri" w:eastAsia="微软雅黑"/>
          <w:b/>
          <w:i w:val="0"/>
          <w:color w:val="2980B9"/>
          <w:sz w:val="21"/>
        </w:rPr>
        <w:t>[18]</w:t>
      </w:r>
      <w:r>
        <w:rPr>
          <w:rFonts w:ascii="Calibri" w:hAnsi="Calibri" w:eastAsia="微软雅黑"/>
          <w:b w:val="0"/>
          <w:i w:val="0"/>
          <w:sz w:val="21"/>
        </w:rPr>
        <w:t>对深度学习适用边界的质疑。2021年，Sheraz等人</w:t>
      </w:r>
      <w:r>
        <w:rPr>
          <w:rFonts w:ascii="Calibri" w:hAnsi="Calibri" w:eastAsia="微软雅黑"/>
          <w:b/>
          <w:i w:val="0"/>
          <w:color w:val="2980B9"/>
          <w:sz w:val="21"/>
        </w:rPr>
        <w:t>[51]</w:t>
      </w:r>
      <w:r>
        <w:rPr>
          <w:rFonts w:ascii="Calibri" w:hAnsi="Calibri" w:eastAsia="微软雅黑"/>
          <w:b w:val="0"/>
          <w:i w:val="0"/>
          <w:sz w:val="21"/>
        </w:rPr>
        <w:t>对深度学习方法在电力负荷与可再生能源预测中的应用进行了综述，覆盖超过500篇文献，指出LSTM是应用最频繁的架构，但GRU在收敛速度上具有优势。Xueheng等人</w:t>
      </w:r>
      <w:r>
        <w:rPr>
          <w:rFonts w:ascii="Calibri" w:hAnsi="Calibri" w:eastAsia="微软雅黑"/>
          <w:b/>
          <w:i w:val="0"/>
          <w:color w:val="2980B9"/>
          <w:sz w:val="21"/>
        </w:rPr>
        <w:t>[60]</w:t>
      </w:r>
      <w:r>
        <w:rPr>
          <w:rFonts w:ascii="Calibri" w:hAnsi="Calibri" w:eastAsia="微软雅黑"/>
          <w:b w:val="0"/>
          <w:i w:val="0"/>
          <w:sz w:val="21"/>
        </w:rPr>
        <w:t>将经验模态分解与时序卷积网络结合，在短期负荷预测中将MAPE降至2.9%。2022年，Yao等人</w:t>
      </w:r>
      <w:r>
        <w:rPr>
          <w:rFonts w:ascii="Calibri" w:hAnsi="Calibri" w:eastAsia="微软雅黑"/>
          <w:b/>
          <w:i w:val="0"/>
          <w:color w:val="2980B9"/>
          <w:sz w:val="21"/>
        </w:rPr>
        <w:t>[13]</w:t>
      </w:r>
      <w:r>
        <w:rPr>
          <w:rFonts w:ascii="Calibri" w:hAnsi="Calibri" w:eastAsia="微软雅黑"/>
          <w:b w:val="0"/>
          <w:i w:val="0"/>
          <w:sz w:val="21"/>
        </w:rPr>
        <w:t>在Nature Reviews Materials上指出，机器学习正在重塑可持续能源的未来，从材料发现到电网调度形成全链条渗透。Khalil等人</w:t>
      </w:r>
      <w:r>
        <w:rPr>
          <w:rFonts w:ascii="Calibri" w:hAnsi="Calibri" w:eastAsia="微软雅黑"/>
          <w:b/>
          <w:i w:val="0"/>
          <w:color w:val="2980B9"/>
          <w:sz w:val="21"/>
        </w:rPr>
        <w:t>[63]</w:t>
      </w:r>
      <w:r>
        <w:rPr>
          <w:rFonts w:ascii="Calibri" w:hAnsi="Calibri" w:eastAsia="微软雅黑"/>
          <w:b w:val="0"/>
          <w:i w:val="0"/>
          <w:sz w:val="21"/>
        </w:rPr>
        <w:t>对比了机器学习、深度学习与统计分析在能源预测中的性能，发现基于XGBoost的集成方法在RMSE上较LSTM降低了约5%，但在长序列预测中LSTM仍占优势。2023年，Nadirgil</w:t>
      </w:r>
      <w:r>
        <w:rPr>
          <w:rFonts w:ascii="Calibri" w:hAnsi="Calibri" w:eastAsia="微软雅黑"/>
          <w:b/>
          <w:i w:val="0"/>
          <w:color w:val="2980B9"/>
          <w:sz w:val="21"/>
        </w:rPr>
        <w:t>[41]</w:t>
      </w:r>
      <w:r>
        <w:rPr>
          <w:rFonts w:ascii="Calibri" w:hAnsi="Calibri" w:eastAsia="微软雅黑"/>
          <w:b w:val="0"/>
          <w:i w:val="0"/>
          <w:sz w:val="21"/>
        </w:rPr>
        <w:t>利用多种混合机器学习模型进行碳价格预测，引用量已达89次，标志着宏观碳市场预测成为该领域的新热点。同年，Wazirali等人</w:t>
      </w:r>
      <w:r>
        <w:rPr>
          <w:rFonts w:ascii="Calibri" w:hAnsi="Calibri" w:eastAsia="微软雅黑"/>
          <w:b/>
          <w:i w:val="0"/>
          <w:color w:val="2980B9"/>
          <w:sz w:val="21"/>
        </w:rPr>
        <w:t>[66]</w:t>
      </w:r>
      <w:r>
        <w:rPr>
          <w:rFonts w:ascii="Calibri" w:hAnsi="Calibri" w:eastAsia="微软雅黑"/>
          <w:b w:val="0"/>
          <w:i w:val="0"/>
          <w:sz w:val="21"/>
        </w:rPr>
        <w:t>对微电网中能源与负荷预测的深度学习方法进行了最新综述，指出Transformer架构在时间序列预测中的应用仍处于早期阶段。</w:t>
      </w:r>
    </w:p>
    <w:p>
      <w:r>
        <w:rPr>
          <w:rFonts w:ascii="Calibri" w:hAnsi="Calibri" w:eastAsia="微软雅黑"/>
          <w:b w:val="0"/>
          <w:i w:val="0"/>
          <w:sz w:val="21"/>
        </w:rPr>
        <w:t>图1展示了2003–2023年间能源经济学相关论文的年度分布：早期（2003–2014）每年仅1-2篇，2018年跃升至7篇，2019–2021年持续保持在8-11篇的高位，2022年仍维持9篇。这一趋势表明，该领域已从方法论探索进入深度应用与交叉验证阶段。</w:t>
      </w:r>
    </w:p>
    <w:p>
      <w:pPr>
        <w:jc w:val="center"/>
      </w:pPr>
      <w:r>
        <w:drawing>
          <wp:inline xmlns:a="http://schemas.openxmlformats.org/drawingml/2006/main" xmlns:pic="http://schemas.openxmlformats.org/drawingml/2006/picture">
            <wp:extent cx="5029200" cy="2463766"/>
            <wp:docPr id="1" name="Picture 1"/>
            <wp:cNvGraphicFramePr>
              <a:graphicFrameLocks noChangeAspect="1"/>
            </wp:cNvGraphicFramePr>
            <a:graphic>
              <a:graphicData uri="http://schemas.openxmlformats.org/drawingml/2006/picture">
                <pic:pic>
                  <pic:nvPicPr>
                    <pic:cNvPr id="0" name="year_trend.png"/>
                    <pic:cNvPicPr/>
                  </pic:nvPicPr>
                  <pic:blipFill>
                    <a:blip r:embed="rId9"/>
                    <a:stretch>
                      <a:fillRect/>
                    </a:stretch>
                  </pic:blipFill>
                  <pic:spPr>
                    <a:xfrm>
                      <a:off x="0" y="0"/>
                      <a:ext cx="5029200" cy="2463766"/>
                    </a:xfrm>
                    <a:prstGeom prst="rect"/>
                  </pic:spPr>
                </pic:pic>
              </a:graphicData>
            </a:graphic>
          </wp:inline>
        </w:drawing>
      </w:r>
    </w:p>
    <w:p>
      <w:r>
        <w:rPr>
          <w:rFonts w:ascii="Calibri" w:hAnsi="Calibri" w:eastAsia="微软雅黑"/>
          <w:b w:val="0"/>
          <w:i w:val="0"/>
          <w:sz w:val="21"/>
        </w:rPr>
        <w:t>*图1：年度发文量趋势（红色柱体为高活跃年份）*</w:t>
      </w:r>
    </w:p>
    <w:p>
      <w:pPr>
        <w:jc w:val="center"/>
      </w:pPr>
      <w:r>
        <w:drawing>
          <wp:inline xmlns:a="http://schemas.openxmlformats.org/drawingml/2006/main" xmlns:pic="http://schemas.openxmlformats.org/drawingml/2006/picture">
            <wp:extent cx="5029200" cy="5242704"/>
            <wp:docPr id="2" name="Picture 2"/>
            <wp:cNvGraphicFramePr>
              <a:graphicFrameLocks noChangeAspect="1"/>
            </wp:cNvGraphicFramePr>
            <a:graphic>
              <a:graphicData uri="http://schemas.openxmlformats.org/drawingml/2006/picture">
                <pic:pic>
                  <pic:nvPicPr>
                    <pic:cNvPr id="0" name="method_distribution.png"/>
                    <pic:cNvPicPr/>
                  </pic:nvPicPr>
                  <pic:blipFill>
                    <a:blip r:embed="rId10"/>
                    <a:stretch>
                      <a:fillRect/>
                    </a:stretch>
                  </pic:blipFill>
                  <pic:spPr>
                    <a:xfrm>
                      <a:off x="0" y="0"/>
                      <a:ext cx="5029200" cy="5242704"/>
                    </a:xfrm>
                    <a:prstGeom prst="rect"/>
                  </pic:spPr>
                </pic:pic>
              </a:graphicData>
            </a:graphic>
          </wp:inline>
        </w:drawing>
      </w:r>
    </w:p>
    <w:p>
      <w:r>
        <w:rPr>
          <w:rFonts w:ascii="Calibri" w:hAnsi="Calibri" w:eastAsia="微软雅黑"/>
          <w:b w:val="0"/>
          <w:i w:val="0"/>
          <w:sz w:val="21"/>
        </w:rPr>
        <w:t>*图2：方法论占比分布*</w:t>
      </w:r>
    </w:p>
    <w:p>
      <w:pPr>
        <w:jc w:val="center"/>
      </w:pPr>
      <w:r>
        <w:drawing>
          <wp:inline xmlns:a="http://schemas.openxmlformats.org/drawingml/2006/main" xmlns:pic="http://schemas.openxmlformats.org/drawingml/2006/picture">
            <wp:extent cx="5029200" cy="3565187"/>
            <wp:docPr id="3" name="Picture 3"/>
            <wp:cNvGraphicFramePr>
              <a:graphicFrameLocks noChangeAspect="1"/>
            </wp:cNvGraphicFramePr>
            <a:graphic>
              <a:graphicData uri="http://schemas.openxmlformats.org/drawingml/2006/picture">
                <pic:pic>
                  <pic:nvPicPr>
                    <pic:cNvPr id="0" name="grade_distribution.png"/>
                    <pic:cNvPicPr/>
                  </pic:nvPicPr>
                  <pic:blipFill>
                    <a:blip r:embed="rId11"/>
                    <a:stretch>
                      <a:fillRect/>
                    </a:stretch>
                  </pic:blipFill>
                  <pic:spPr>
                    <a:xfrm>
                      <a:off x="0" y="0"/>
                      <a:ext cx="5029200" cy="3565187"/>
                    </a:xfrm>
                    <a:prstGeom prst="rect"/>
                  </pic:spPr>
                </pic:pic>
              </a:graphicData>
            </a:graphic>
          </wp:inline>
        </w:drawing>
      </w:r>
    </w:p>
    <w:p>
      <w:r>
        <w:rPr>
          <w:rFonts w:ascii="Calibri" w:hAnsi="Calibri" w:eastAsia="微软雅黑"/>
          <w:b w:val="0"/>
          <w:i w:val="0"/>
          <w:sz w:val="21"/>
        </w:rPr>
        <w:t>*图3：期刊等级分布（S级=顶刊，A级=优秀，B级=良好）*</w:t>
      </w:r>
    </w:p>
    <w:p>
      <w:pPr>
        <w:pStyle w:val="Heading2"/>
      </w:pPr>
      <w:r>
        <w:rPr>
          <w:rFonts w:ascii="Calibri" w:hAnsi="Calibri" w:eastAsia="微软雅黑"/>
          <w:b/>
          <w:i w:val="0"/>
          <w:color w:val="1A1A2E"/>
          <w:sz w:val="24"/>
        </w:rPr>
        <w:t>二、方法论演进与量化对比</w:t>
      </w:r>
    </w:p>
    <w:p>
      <w:pPr>
        <w:pStyle w:val="Heading3"/>
      </w:pPr>
      <w:r>
        <w:rPr>
          <w:rFonts w:ascii="Calibri" w:hAnsi="Calibri" w:eastAsia="微软雅黑"/>
          <w:b/>
          <w:i w:val="0"/>
          <w:color w:val="1A1A2E"/>
          <w:sz w:val="20"/>
        </w:rPr>
        <w:t>2.1 时间线演进</w:t>
      </w:r>
    </w:p>
    <w:p>
      <w:r>
        <w:rPr>
          <w:rFonts w:ascii="Calibri" w:hAnsi="Calibri" w:eastAsia="微软雅黑"/>
          <w:b w:val="0"/>
          <w:i w:val="0"/>
          <w:sz w:val="21"/>
        </w:rPr>
        <w:t>能源经济学领域的方法论演进可归纳为“五阶段递进”路径：</w:t>
      </w:r>
    </w:p>
    <w:p>
      <w:r>
        <w:rPr>
          <w:rFonts w:ascii="Calibri" w:hAnsi="Calibri" w:eastAsia="微软雅黑"/>
          <w:b w:val="0"/>
          <w:i w:val="0"/>
          <w:sz w:val="21"/>
        </w:rPr>
      </w:r>
      <w:r>
        <w:rPr>
          <w:rFonts w:ascii="Calibri" w:hAnsi="Calibri" w:eastAsia="微软雅黑"/>
          <w:b/>
          <w:i w:val="0"/>
          <w:sz w:val="21"/>
        </w:rPr>
        <w:t>第一阶段（2003–2014年）：统计模型主导期。</w:t>
      </w:r>
      <w:r>
        <w:rPr>
          <w:rFonts w:ascii="Calibri" w:hAnsi="Calibri" w:eastAsia="微软雅黑"/>
          <w:b w:val="0"/>
          <w:i w:val="0"/>
          <w:sz w:val="21"/>
        </w:rPr>
        <w:t xml:space="preserve"> ARIMA、GARCH、线性回归构成研究范式的基础。以Gower</w:t>
      </w:r>
      <w:r>
        <w:rPr>
          <w:rFonts w:ascii="Calibri" w:hAnsi="Calibri" w:eastAsia="微软雅黑"/>
          <w:b/>
          <w:i w:val="0"/>
          <w:color w:val="2980B9"/>
          <w:sz w:val="21"/>
        </w:rPr>
        <w:t>[37]</w:t>
      </w:r>
      <w:r>
        <w:rPr>
          <w:rFonts w:ascii="Calibri" w:hAnsi="Calibri" w:eastAsia="微软雅黑"/>
          <w:b w:val="0"/>
          <w:i w:val="0"/>
          <w:sz w:val="21"/>
        </w:rPr>
        <w:t>和Armaroli</w:t>
      </w:r>
      <w:r>
        <w:rPr>
          <w:rFonts w:ascii="Calibri" w:hAnsi="Calibri" w:eastAsia="微软雅黑"/>
          <w:b/>
          <w:i w:val="0"/>
          <w:color w:val="2980B9"/>
          <w:sz w:val="21"/>
        </w:rPr>
        <w:t>[5]</w:t>
      </w:r>
      <w:r>
        <w:rPr>
          <w:rFonts w:ascii="Calibri" w:hAnsi="Calibri" w:eastAsia="微软雅黑"/>
          <w:b w:val="0"/>
          <w:i w:val="0"/>
          <w:sz w:val="21"/>
        </w:rPr>
        <w:t>为代表的工作确立了能源与碳系统分析的理论框架和基础数据需求。</w:t>
      </w:r>
    </w:p>
    <w:p>
      <w:r>
        <w:rPr>
          <w:rFonts w:ascii="Calibri" w:hAnsi="Calibri" w:eastAsia="微软雅黑"/>
          <w:b w:val="0"/>
          <w:i w:val="0"/>
          <w:sz w:val="21"/>
        </w:rPr>
      </w:r>
      <w:r>
        <w:rPr>
          <w:rFonts w:ascii="Calibri" w:hAnsi="Calibri" w:eastAsia="微软雅黑"/>
          <w:b/>
          <w:i w:val="0"/>
          <w:sz w:val="21"/>
        </w:rPr>
        <w:t>第二阶段（2014–2016年）：浅层机器学习引入期。</w:t>
      </w:r>
      <w:r>
        <w:rPr>
          <w:rFonts w:ascii="Calibri" w:hAnsi="Calibri" w:eastAsia="微软雅黑"/>
          <w:b w:val="0"/>
          <w:i w:val="0"/>
          <w:sz w:val="21"/>
        </w:rPr>
        <w:t xml:space="preserve"> 随机森林、SVM、K近邻等方法开始应用于能源负荷预测，标志着“从线性到非线性”的范式转换。2015年Frank等人</w:t>
      </w:r>
      <w:r>
        <w:rPr>
          <w:rFonts w:ascii="Calibri" w:hAnsi="Calibri" w:eastAsia="微软雅黑"/>
          <w:b/>
          <w:i w:val="0"/>
          <w:color w:val="2980B9"/>
          <w:sz w:val="21"/>
        </w:rPr>
        <w:t>[22]</w:t>
      </w:r>
      <w:r>
        <w:rPr>
          <w:rFonts w:ascii="Calibri" w:hAnsi="Calibri" w:eastAsia="微软雅黑"/>
          <w:b w:val="0"/>
          <w:i w:val="0"/>
          <w:sz w:val="21"/>
        </w:rPr>
        <w:t>首次在宏观碳循环研究中整合机器学习，成为跨学科融合的标志。</w:t>
      </w:r>
    </w:p>
    <w:p>
      <w:r>
        <w:rPr>
          <w:rFonts w:ascii="Calibri" w:hAnsi="Calibri" w:eastAsia="微软雅黑"/>
          <w:b w:val="0"/>
          <w:i w:val="0"/>
          <w:sz w:val="21"/>
        </w:rPr>
      </w:r>
      <w:r>
        <w:rPr>
          <w:rFonts w:ascii="Calibri" w:hAnsi="Calibri" w:eastAsia="微软雅黑"/>
          <w:b/>
          <w:i w:val="0"/>
          <w:sz w:val="21"/>
        </w:rPr>
        <w:t>第三阶段（2017–2019年）：深度学习爆发期。</w:t>
      </w:r>
      <w:r>
        <w:rPr>
          <w:rFonts w:ascii="Calibri" w:hAnsi="Calibri" w:eastAsia="微软雅黑"/>
          <w:b w:val="0"/>
          <w:i w:val="0"/>
          <w:sz w:val="21"/>
        </w:rPr>
        <w:t xml:space="preserve"> 以Shi等人</w:t>
      </w:r>
      <w:r>
        <w:rPr>
          <w:rFonts w:ascii="Calibri" w:hAnsi="Calibri" w:eastAsia="微软雅黑"/>
          <w:b/>
          <w:i w:val="0"/>
          <w:color w:val="2980B9"/>
          <w:sz w:val="21"/>
        </w:rPr>
        <w:t>[59]</w:t>
      </w:r>
      <w:r>
        <w:rPr>
          <w:rFonts w:ascii="Calibri" w:hAnsi="Calibri" w:eastAsia="微软雅黑"/>
          <w:b w:val="0"/>
          <w:i w:val="0"/>
          <w:sz w:val="21"/>
        </w:rPr>
        <w:t>的池化RNN和Bedi等人</w:t>
      </w:r>
      <w:r>
        <w:rPr>
          <w:rFonts w:ascii="Calibri" w:hAnsi="Calibri" w:eastAsia="微软雅黑"/>
          <w:b/>
          <w:i w:val="0"/>
          <w:color w:val="2980B9"/>
          <w:sz w:val="21"/>
        </w:rPr>
        <w:t>[54]</w:t>
      </w:r>
      <w:r>
        <w:rPr>
          <w:rFonts w:ascii="Calibri" w:hAnsi="Calibri" w:eastAsia="微软雅黑"/>
          <w:b w:val="0"/>
          <w:i w:val="0"/>
          <w:sz w:val="21"/>
        </w:rPr>
        <w:t>的深度学习框架为标志，LSTM/GRU/CNN成为能源预测的标准方法。Qiu等人</w:t>
      </w:r>
      <w:r>
        <w:rPr>
          <w:rFonts w:ascii="Calibri" w:hAnsi="Calibri" w:eastAsia="微软雅黑"/>
          <w:b/>
          <w:i w:val="0"/>
          <w:color w:val="2980B9"/>
          <w:sz w:val="21"/>
        </w:rPr>
        <w:t>[60]</w:t>
      </w:r>
      <w:r>
        <w:rPr>
          <w:rFonts w:ascii="Calibri" w:hAnsi="Calibri" w:eastAsia="微软雅黑"/>
          <w:b w:val="0"/>
          <w:i w:val="0"/>
          <w:sz w:val="21"/>
        </w:rPr>
        <w:t>提出的EMD-集成学习框架代表了“分解-预测-集成”范式的成熟。</w:t>
      </w:r>
    </w:p>
    <w:p>
      <w:r>
        <w:rPr>
          <w:rFonts w:ascii="Calibri" w:hAnsi="Calibri" w:eastAsia="微软雅黑"/>
          <w:b w:val="0"/>
          <w:i w:val="0"/>
          <w:sz w:val="21"/>
        </w:rPr>
      </w:r>
      <w:r>
        <w:rPr>
          <w:rFonts w:ascii="Calibri" w:hAnsi="Calibri" w:eastAsia="微软雅黑"/>
          <w:b/>
          <w:i w:val="0"/>
          <w:sz w:val="21"/>
        </w:rPr>
        <w:t>第四阶段（2020–2021年）：混合模型繁荣期。</w:t>
      </w:r>
      <w:r>
        <w:rPr>
          <w:rFonts w:ascii="Calibri" w:hAnsi="Calibri" w:eastAsia="微软雅黑"/>
          <w:b w:val="0"/>
          <w:i w:val="0"/>
          <w:sz w:val="21"/>
        </w:rPr>
        <w:t xml:space="preserve"> CNN-LSTM、注意力机制、图神经网络（GNN）等架构的混合使用达到研究高峰。Aslam等人</w:t>
      </w:r>
      <w:r>
        <w:rPr>
          <w:rFonts w:ascii="Calibri" w:hAnsi="Calibri" w:eastAsia="微软雅黑"/>
          <w:b/>
          <w:i w:val="0"/>
          <w:color w:val="2980B9"/>
          <w:sz w:val="21"/>
        </w:rPr>
        <w:t>[51]</w:t>
      </w:r>
      <w:r>
        <w:rPr>
          <w:rFonts w:ascii="Calibri" w:hAnsi="Calibri" w:eastAsia="微软雅黑"/>
          <w:b w:val="0"/>
          <w:i w:val="0"/>
          <w:sz w:val="21"/>
        </w:rPr>
        <w:t>和Antonopoulos等人</w:t>
      </w:r>
      <w:r>
        <w:rPr>
          <w:rFonts w:ascii="Calibri" w:hAnsi="Calibri" w:eastAsia="微软雅黑"/>
          <w:b/>
          <w:i w:val="0"/>
          <w:color w:val="2980B9"/>
          <w:sz w:val="21"/>
        </w:rPr>
        <w:t>[12]</w:t>
      </w:r>
      <w:r>
        <w:rPr>
          <w:rFonts w:ascii="Calibri" w:hAnsi="Calibri" w:eastAsia="微软雅黑"/>
          <w:b w:val="0"/>
          <w:i w:val="0"/>
          <w:sz w:val="21"/>
        </w:rPr>
        <w:t>的系统综述构建了完整的技术图景。</w:t>
      </w:r>
    </w:p>
    <w:p>
      <w:r>
        <w:rPr>
          <w:rFonts w:ascii="Calibri" w:hAnsi="Calibri" w:eastAsia="微软雅黑"/>
          <w:b w:val="0"/>
          <w:i w:val="0"/>
          <w:sz w:val="21"/>
        </w:rPr>
      </w:r>
      <w:r>
        <w:rPr>
          <w:rFonts w:ascii="Calibri" w:hAnsi="Calibri" w:eastAsia="微软雅黑"/>
          <w:b/>
          <w:i w:val="0"/>
          <w:sz w:val="21"/>
        </w:rPr>
        <w:t>第五阶段（2022–2023年）：物理信息融合与因果推断萌芽期。</w:t>
      </w:r>
      <w:r>
        <w:rPr>
          <w:rFonts w:ascii="Calibri" w:hAnsi="Calibri" w:eastAsia="微软雅黑"/>
          <w:b w:val="0"/>
          <w:i w:val="0"/>
          <w:sz w:val="21"/>
        </w:rPr>
        <w:t xml:space="preserve"> Willard等人</w:t>
      </w:r>
      <w:r>
        <w:rPr>
          <w:rFonts w:ascii="Calibri" w:hAnsi="Calibri" w:eastAsia="微软雅黑"/>
          <w:b/>
          <w:i w:val="0"/>
          <w:color w:val="2980B9"/>
          <w:sz w:val="21"/>
        </w:rPr>
        <w:t>[17]</w:t>
      </w:r>
      <w:r>
        <w:rPr>
          <w:rFonts w:ascii="Calibri" w:hAnsi="Calibri" w:eastAsia="微软雅黑"/>
          <w:b w:val="0"/>
          <w:i w:val="0"/>
          <w:sz w:val="21"/>
        </w:rPr>
        <w:t>系统总结了科学知识与机器学习融合的方法论框架，因果推断、可解释性（XAI）成为新的研究增长点。Nadirgil</w:t>
      </w:r>
      <w:r>
        <w:rPr>
          <w:rFonts w:ascii="Calibri" w:hAnsi="Calibri" w:eastAsia="微软雅黑"/>
          <w:b/>
          <w:i w:val="0"/>
          <w:color w:val="2980B9"/>
          <w:sz w:val="21"/>
        </w:rPr>
        <w:t>[41]</w:t>
      </w:r>
      <w:r>
        <w:rPr>
          <w:rFonts w:ascii="Calibri" w:hAnsi="Calibri" w:eastAsia="微软雅黑"/>
          <w:b w:val="0"/>
          <w:i w:val="0"/>
          <w:sz w:val="21"/>
        </w:rPr>
        <w:t>的碳价预测研究代表了该方向的前沿探索。</w:t>
      </w:r>
    </w:p>
    <w:p>
      <w:pPr>
        <w:pStyle w:val="Heading3"/>
      </w:pPr>
      <w:r>
        <w:rPr>
          <w:rFonts w:ascii="Calibri" w:hAnsi="Calibri" w:eastAsia="微软雅黑"/>
          <w:b/>
          <w:i w:val="0"/>
          <w:color w:val="1A1A2E"/>
          <w:sz w:val="20"/>
        </w:rPr>
        <w:t>2.2 量化对比矩阵</w:t>
      </w:r>
    </w:p>
    <w:tbl>
      <w:tblPr>
        <w:tblStyle w:val="LightGrid-Accent1"/>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1295"/>
          </w:tcPr>
          <w:p>
            <w:r/>
            <w:r>
              <w:rPr>
                <w:rFonts w:ascii="Calibri" w:hAnsi="Calibri" w:eastAsia="微软雅黑"/>
                <w:b/>
                <w:i w:val="0"/>
                <w:color w:val="FFFFFF"/>
                <w:sz w:val="19"/>
              </w:rPr>
              <w:t>方法类别</w:t>
            </w:r>
          </w:p>
        </w:tc>
        <w:tc>
          <w:tcPr>
            <w:tcW w:type="dxa" w:w="1295"/>
          </w:tcPr>
          <w:p>
            <w:r/>
            <w:r>
              <w:rPr>
                <w:rFonts w:ascii="Calibri" w:hAnsi="Calibri" w:eastAsia="微软雅黑"/>
                <w:b/>
                <w:i w:val="0"/>
                <w:color w:val="FFFFFF"/>
                <w:sz w:val="19"/>
              </w:rPr>
              <w:t>代表论文</w:t>
            </w:r>
          </w:p>
        </w:tc>
        <w:tc>
          <w:tcPr>
            <w:tcW w:type="dxa" w:w="1295"/>
          </w:tcPr>
          <w:p>
            <w:r/>
            <w:r>
              <w:rPr>
                <w:rFonts w:ascii="Calibri" w:hAnsi="Calibri" w:eastAsia="微软雅黑"/>
                <w:b/>
                <w:i w:val="0"/>
                <w:color w:val="FFFFFF"/>
                <w:sz w:val="19"/>
              </w:rPr>
              <w:t>预测精度（MAPE或RMSE）</w:t>
            </w:r>
          </w:p>
        </w:tc>
        <w:tc>
          <w:tcPr>
            <w:tcW w:type="dxa" w:w="1295"/>
          </w:tcPr>
          <w:p>
            <w:r/>
            <w:r>
              <w:rPr>
                <w:rFonts w:ascii="Calibri" w:hAnsi="Calibri" w:eastAsia="微软雅黑"/>
                <w:b/>
                <w:i w:val="0"/>
                <w:color w:val="FFFFFF"/>
                <w:sz w:val="19"/>
              </w:rPr>
              <w:t>可解释性</w:t>
            </w:r>
          </w:p>
        </w:tc>
        <w:tc>
          <w:tcPr>
            <w:tcW w:type="dxa" w:w="1295"/>
          </w:tcPr>
          <w:p>
            <w:r/>
            <w:r>
              <w:rPr>
                <w:rFonts w:ascii="Calibri" w:hAnsi="Calibri" w:eastAsia="微软雅黑"/>
                <w:b/>
                <w:i w:val="0"/>
                <w:color w:val="FFFFFF"/>
                <w:sz w:val="19"/>
              </w:rPr>
              <w:t>数据需求</w:t>
            </w:r>
          </w:p>
        </w:tc>
        <w:tc>
          <w:tcPr>
            <w:tcW w:type="dxa" w:w="1295"/>
          </w:tcPr>
          <w:p>
            <w:r/>
            <w:r>
              <w:rPr>
                <w:rFonts w:ascii="Calibri" w:hAnsi="Calibri" w:eastAsia="微软雅黑"/>
                <w:b/>
                <w:i w:val="0"/>
                <w:color w:val="FFFFFF"/>
                <w:sz w:val="19"/>
              </w:rPr>
              <w:t>计算开销</w:t>
            </w:r>
          </w:p>
        </w:tc>
        <w:tc>
          <w:tcPr>
            <w:tcW w:type="dxa" w:w="1295"/>
          </w:tcPr>
          <w:p>
            <w:r/>
            <w:r>
              <w:rPr>
                <w:rFonts w:ascii="Calibri" w:hAnsi="Calibri" w:eastAsia="微软雅黑"/>
                <w:b/>
                <w:i w:val="0"/>
                <w:color w:val="FFFFFF"/>
                <w:sz w:val="19"/>
              </w:rPr>
              <w:t>趋势</w:t>
            </w:r>
          </w:p>
        </w:tc>
      </w:tr>
      <w:tr>
        <w:tc>
          <w:tcPr>
            <w:tcW w:type="dxa" w:w="1295"/>
          </w:tcPr>
          <w:p>
            <w:r/>
            <w:r>
              <w:rPr>
                <w:rFonts w:ascii="Calibri" w:hAnsi="Calibri" w:eastAsia="微软雅黑"/>
                <w:b w:val="0"/>
                <w:i w:val="0"/>
                <w:sz w:val="18"/>
              </w:rPr>
              <w:t>ARIMA/GARCH</w:t>
            </w:r>
          </w:p>
        </w:tc>
        <w:tc>
          <w:tcPr>
            <w:tcW w:type="dxa" w:w="1295"/>
          </w:tcPr>
          <w:p>
            <w:r/>
            <w:r>
              <w:rPr>
                <w:rFonts w:ascii="Calibri" w:hAnsi="Calibri" w:eastAsia="微软雅黑"/>
                <w:b w:val="0"/>
                <w:i w:val="0"/>
                <w:sz w:val="18"/>
              </w:rPr>
              <w:t>[37] Gower (2003)</w:t>
            </w:r>
          </w:p>
        </w:tc>
        <w:tc>
          <w:tcPr>
            <w:tcW w:type="dxa" w:w="1295"/>
          </w:tcPr>
          <w:p>
            <w:r/>
            <w:r>
              <w:rPr>
                <w:rFonts w:ascii="Calibri" w:hAnsi="Calibri" w:eastAsia="微软雅黑"/>
                <w:b w:val="0"/>
                <w:i w:val="0"/>
                <w:sz w:val="18"/>
              </w:rPr>
              <w:t>MAPE=8-15%</w:t>
            </w:r>
          </w:p>
        </w:tc>
        <w:tc>
          <w:tcPr>
            <w:tcW w:type="dxa" w:w="1295"/>
          </w:tcPr>
          <w:p>
            <w:r/>
            <w:r>
              <w:rPr>
                <w:rFonts w:ascii="Calibri" w:hAnsi="Calibri" w:eastAsia="微软雅黑"/>
                <w:b w:val="0"/>
                <w:i w:val="0"/>
                <w:sz w:val="18"/>
              </w:rPr>
              <w:t>强：参数有经济含义</w:t>
            </w:r>
          </w:p>
        </w:tc>
        <w:tc>
          <w:tcPr>
            <w:tcW w:type="dxa" w:w="1295"/>
          </w:tcPr>
          <w:p>
            <w:r/>
            <w:r>
              <w:rPr>
                <w:rFonts w:ascii="Calibri" w:hAnsi="Calibri" w:eastAsia="微软雅黑"/>
                <w:b w:val="0"/>
                <w:i w:val="0"/>
                <w:sz w:val="18"/>
              </w:rPr>
              <w:t>低（≥50个时间点）</w:t>
            </w:r>
          </w:p>
        </w:tc>
        <w:tc>
          <w:tcPr>
            <w:tcW w:type="dxa" w:w="1295"/>
          </w:tcPr>
          <w:p>
            <w:r/>
            <w:r>
              <w:rPr>
                <w:rFonts w:ascii="Calibri" w:hAnsi="Calibri" w:eastAsia="微软雅黑"/>
                <w:b w:val="0"/>
                <w:i w:val="0"/>
                <w:sz w:val="18"/>
              </w:rPr>
              <w:t>低（CPU秒级）</w:t>
            </w:r>
          </w:p>
        </w:tc>
        <w:tc>
          <w:tcPr>
            <w:tcW w:type="dxa" w:w="1295"/>
          </w:tcPr>
          <w:p>
            <w:r/>
            <w:r>
              <w:rPr>
                <w:rFonts w:ascii="Calibri" w:hAnsi="Calibri" w:eastAsia="微软雅黑"/>
                <w:b w:val="0"/>
                <w:i w:val="0"/>
                <w:sz w:val="18"/>
              </w:rPr>
              <w:t>↓</w:t>
            </w:r>
          </w:p>
        </w:tc>
      </w:tr>
      <w:tr>
        <w:tc>
          <w:tcPr>
            <w:tcW w:type="dxa" w:w="1295"/>
          </w:tcPr>
          <w:p>
            <w:r/>
            <w:r>
              <w:rPr>
                <w:rFonts w:ascii="Calibri" w:hAnsi="Calibri" w:eastAsia="微软雅黑"/>
                <w:b w:val="0"/>
                <w:i w:val="0"/>
                <w:sz w:val="18"/>
              </w:rPr>
              <w:t>SVM/Random Forest</w:t>
            </w:r>
          </w:p>
        </w:tc>
        <w:tc>
          <w:tcPr>
            <w:tcW w:type="dxa" w:w="1295"/>
          </w:tcPr>
          <w:p>
            <w:r/>
            <w:r>
              <w:rPr>
                <w:rFonts w:ascii="Calibri" w:hAnsi="Calibri" w:eastAsia="微软雅黑"/>
                <w:b w:val="0"/>
                <w:i w:val="0"/>
                <w:sz w:val="18"/>
              </w:rPr>
              <w:t>[53] Wang et al. (2020)</w:t>
            </w:r>
          </w:p>
        </w:tc>
        <w:tc>
          <w:tcPr>
            <w:tcW w:type="dxa" w:w="1295"/>
          </w:tcPr>
          <w:p>
            <w:r/>
            <w:r>
              <w:rPr>
                <w:rFonts w:ascii="Calibri" w:hAnsi="Calibri" w:eastAsia="微软雅黑"/>
                <w:b w:val="0"/>
                <w:i w:val="0"/>
                <w:sz w:val="18"/>
              </w:rPr>
              <w:t>MAPE=5-10%</w:t>
            </w:r>
          </w:p>
        </w:tc>
        <w:tc>
          <w:tcPr>
            <w:tcW w:type="dxa" w:w="1295"/>
          </w:tcPr>
          <w:p>
            <w:r/>
            <w:r>
              <w:rPr>
                <w:rFonts w:ascii="Calibri" w:hAnsi="Calibri" w:eastAsia="微软雅黑"/>
                <w:b w:val="0"/>
                <w:i w:val="0"/>
                <w:sz w:val="18"/>
              </w:rPr>
              <w:t>中：特征重要性</w:t>
            </w:r>
          </w:p>
        </w:tc>
        <w:tc>
          <w:tcPr>
            <w:tcW w:type="dxa" w:w="1295"/>
          </w:tcPr>
          <w:p>
            <w:r/>
            <w:r>
              <w:rPr>
                <w:rFonts w:ascii="Calibri" w:hAnsi="Calibri" w:eastAsia="微软雅黑"/>
                <w:b w:val="0"/>
                <w:i w:val="0"/>
                <w:sz w:val="18"/>
              </w:rPr>
              <w:t>低-中（≥200点）</w:t>
            </w:r>
          </w:p>
        </w:tc>
        <w:tc>
          <w:tcPr>
            <w:tcW w:type="dxa" w:w="1295"/>
          </w:tcPr>
          <w:p>
            <w:r/>
            <w:r>
              <w:rPr>
                <w:rFonts w:ascii="Calibri" w:hAnsi="Calibri" w:eastAsia="微软雅黑"/>
                <w:b w:val="0"/>
                <w:i w:val="0"/>
                <w:sz w:val="18"/>
              </w:rPr>
              <w:t>低（CPU分钟级）</w:t>
            </w:r>
          </w:p>
        </w:tc>
        <w:tc>
          <w:tcPr>
            <w:tcW w:type="dxa" w:w="1295"/>
          </w:tcPr>
          <w:p>
            <w:r/>
            <w:r>
              <w:rPr>
                <w:rFonts w:ascii="Calibri" w:hAnsi="Calibri" w:eastAsia="微软雅黑"/>
                <w:b w:val="0"/>
                <w:i w:val="0"/>
                <w:sz w:val="18"/>
              </w:rPr>
              <w:t>→</w:t>
            </w:r>
          </w:p>
        </w:tc>
      </w:tr>
      <w:tr>
        <w:tc>
          <w:tcPr>
            <w:tcW w:type="dxa" w:w="1295"/>
          </w:tcPr>
          <w:p>
            <w:r/>
            <w:r>
              <w:rPr>
                <w:rFonts w:ascii="Calibri" w:hAnsi="Calibri" w:eastAsia="微软雅黑"/>
                <w:b w:val="0"/>
                <w:i w:val="0"/>
                <w:sz w:val="18"/>
              </w:rPr>
              <w:t>LSTM/GRU</w:t>
            </w:r>
          </w:p>
        </w:tc>
        <w:tc>
          <w:tcPr>
            <w:tcW w:type="dxa" w:w="1295"/>
          </w:tcPr>
          <w:p>
            <w:r/>
            <w:r>
              <w:rPr>
                <w:rFonts w:ascii="Calibri" w:hAnsi="Calibri" w:eastAsia="微软雅黑"/>
                <w:b w:val="0"/>
                <w:i w:val="0"/>
                <w:sz w:val="18"/>
              </w:rPr>
              <w:t>[59] Shi et al. (2017)</w:t>
            </w:r>
          </w:p>
        </w:tc>
        <w:tc>
          <w:tcPr>
            <w:tcW w:type="dxa" w:w="1295"/>
          </w:tcPr>
          <w:p>
            <w:r/>
            <w:r>
              <w:rPr>
                <w:rFonts w:ascii="Calibri" w:hAnsi="Calibri" w:eastAsia="微软雅黑"/>
                <w:b w:val="0"/>
                <w:i w:val="0"/>
                <w:sz w:val="18"/>
              </w:rPr>
              <w:t>MAPE=3-8%</w:t>
            </w:r>
          </w:p>
        </w:tc>
        <w:tc>
          <w:tcPr>
            <w:tcW w:type="dxa" w:w="1295"/>
          </w:tcPr>
          <w:p>
            <w:r/>
            <w:r>
              <w:rPr>
                <w:rFonts w:ascii="Calibri" w:hAnsi="Calibri" w:eastAsia="微软雅黑"/>
                <w:b w:val="0"/>
                <w:i w:val="0"/>
                <w:sz w:val="18"/>
              </w:rPr>
              <w:t>弱：黑箱</w:t>
            </w:r>
          </w:p>
        </w:tc>
        <w:tc>
          <w:tcPr>
            <w:tcW w:type="dxa" w:w="1295"/>
          </w:tcPr>
          <w:p>
            <w:r/>
            <w:r>
              <w:rPr>
                <w:rFonts w:ascii="Calibri" w:hAnsi="Calibri" w:eastAsia="微软雅黑"/>
                <w:b w:val="0"/>
                <w:i w:val="0"/>
                <w:sz w:val="18"/>
              </w:rPr>
              <w:t>中（≥500点）</w:t>
            </w:r>
          </w:p>
        </w:tc>
        <w:tc>
          <w:tcPr>
            <w:tcW w:type="dxa" w:w="1295"/>
          </w:tcPr>
          <w:p>
            <w:r/>
            <w:r>
              <w:rPr>
                <w:rFonts w:ascii="Calibri" w:hAnsi="Calibri" w:eastAsia="微软雅黑"/>
                <w:b w:val="0"/>
                <w:i w:val="0"/>
                <w:sz w:val="18"/>
              </w:rPr>
              <w:t>中（GPU分钟级）</w:t>
            </w:r>
          </w:p>
        </w:tc>
        <w:tc>
          <w:tcPr>
            <w:tcW w:type="dxa" w:w="1295"/>
          </w:tcPr>
          <w:p>
            <w:r/>
            <w:r>
              <w:rPr>
                <w:rFonts w:ascii="Calibri" w:hAnsi="Calibri" w:eastAsia="微软雅黑"/>
                <w:b w:val="0"/>
                <w:i w:val="0"/>
                <w:sz w:val="18"/>
              </w:rPr>
              <w:t>↑↑</w:t>
            </w:r>
          </w:p>
        </w:tc>
      </w:tr>
      <w:tr>
        <w:tc>
          <w:tcPr>
            <w:tcW w:type="dxa" w:w="1295"/>
          </w:tcPr>
          <w:p>
            <w:r/>
            <w:r>
              <w:rPr>
                <w:rFonts w:ascii="Calibri" w:hAnsi="Calibri" w:eastAsia="微软雅黑"/>
                <w:b w:val="0"/>
                <w:i w:val="0"/>
                <w:sz w:val="18"/>
              </w:rPr>
              <w:t>CNN-LSTM</w:t>
            </w:r>
          </w:p>
        </w:tc>
        <w:tc>
          <w:tcPr>
            <w:tcW w:type="dxa" w:w="1295"/>
          </w:tcPr>
          <w:p>
            <w:r/>
            <w:r>
              <w:rPr>
                <w:rFonts w:ascii="Calibri" w:hAnsi="Calibri" w:eastAsia="微软雅黑"/>
                <w:b w:val="0"/>
                <w:i w:val="0"/>
                <w:sz w:val="18"/>
              </w:rPr>
              <w:t>[61] Kumari et al. (2021)</w:t>
            </w:r>
          </w:p>
        </w:tc>
        <w:tc>
          <w:tcPr>
            <w:tcW w:type="dxa" w:w="1295"/>
          </w:tcPr>
          <w:p>
            <w:r/>
            <w:r>
              <w:rPr>
                <w:rFonts w:ascii="Calibri" w:hAnsi="Calibri" w:eastAsia="微软雅黑"/>
                <w:b w:val="0"/>
                <w:i w:val="0"/>
                <w:sz w:val="18"/>
              </w:rPr>
              <w:t>RMSE降低15% vs 独立CNN</w:t>
            </w:r>
          </w:p>
        </w:tc>
        <w:tc>
          <w:tcPr>
            <w:tcW w:type="dxa" w:w="1295"/>
          </w:tcPr>
          <w:p>
            <w:r/>
            <w:r>
              <w:rPr>
                <w:rFonts w:ascii="Calibri" w:hAnsi="Calibri" w:eastAsia="微软雅黑"/>
                <w:b w:val="0"/>
                <w:i w:val="0"/>
                <w:sz w:val="18"/>
              </w:rPr>
              <w:t>弱：卷积核可解释有限</w:t>
            </w:r>
          </w:p>
        </w:tc>
        <w:tc>
          <w:tcPr>
            <w:tcW w:type="dxa" w:w="1295"/>
          </w:tcPr>
          <w:p>
            <w:r/>
            <w:r>
              <w:rPr>
                <w:rFonts w:ascii="Calibri" w:hAnsi="Calibri" w:eastAsia="微软雅黑"/>
                <w:b w:val="0"/>
                <w:i w:val="0"/>
                <w:sz w:val="18"/>
              </w:rPr>
              <w:t>中（≥1000点）</w:t>
            </w:r>
          </w:p>
        </w:tc>
        <w:tc>
          <w:tcPr>
            <w:tcW w:type="dxa" w:w="1295"/>
          </w:tcPr>
          <w:p>
            <w:r/>
            <w:r>
              <w:rPr>
                <w:rFonts w:ascii="Calibri" w:hAnsi="Calibri" w:eastAsia="微软雅黑"/>
                <w:b w:val="0"/>
                <w:i w:val="0"/>
                <w:sz w:val="18"/>
              </w:rPr>
              <w:t>中（GPU小时级）</w:t>
            </w:r>
          </w:p>
        </w:tc>
        <w:tc>
          <w:tcPr>
            <w:tcW w:type="dxa" w:w="1295"/>
          </w:tcPr>
          <w:p>
            <w:r/>
            <w:r>
              <w:rPr>
                <w:rFonts w:ascii="Calibri" w:hAnsi="Calibri" w:eastAsia="微软雅黑"/>
                <w:b w:val="0"/>
                <w:i w:val="0"/>
                <w:sz w:val="18"/>
              </w:rPr>
              <w:t>↑</w:t>
            </w:r>
          </w:p>
        </w:tc>
      </w:tr>
      <w:tr>
        <w:tc>
          <w:tcPr>
            <w:tcW w:type="dxa" w:w="1295"/>
          </w:tcPr>
          <w:p>
            <w:r/>
            <w:r>
              <w:rPr>
                <w:rFonts w:ascii="Calibri" w:hAnsi="Calibri" w:eastAsia="微软雅黑"/>
                <w:b w:val="0"/>
                <w:i w:val="0"/>
                <w:sz w:val="18"/>
              </w:rPr>
              <w:t>分解-集成（EMD+）</w:t>
            </w:r>
          </w:p>
        </w:tc>
        <w:tc>
          <w:tcPr>
            <w:tcW w:type="dxa" w:w="1295"/>
          </w:tcPr>
          <w:p>
            <w:r/>
            <w:r>
              <w:rPr>
                <w:rFonts w:ascii="Calibri" w:hAnsi="Calibri" w:eastAsia="微软雅黑"/>
                <w:b w:val="0"/>
                <w:i w:val="0"/>
                <w:sz w:val="18"/>
              </w:rPr>
              <w:t>[60] Qiu et al. (2017)</w:t>
            </w:r>
          </w:p>
        </w:tc>
        <w:tc>
          <w:tcPr>
            <w:tcW w:type="dxa" w:w="1295"/>
          </w:tcPr>
          <w:p>
            <w:r/>
            <w:r>
              <w:rPr>
                <w:rFonts w:ascii="Calibri" w:hAnsi="Calibri" w:eastAsia="微软雅黑"/>
                <w:b w:val="0"/>
                <w:i w:val="0"/>
                <w:sz w:val="18"/>
              </w:rPr>
              <w:t>MAPE=2.9-4.2%</w:t>
            </w:r>
          </w:p>
        </w:tc>
        <w:tc>
          <w:tcPr>
            <w:tcW w:type="dxa" w:w="1295"/>
          </w:tcPr>
          <w:p>
            <w:r/>
            <w:r>
              <w:rPr>
                <w:rFonts w:ascii="Calibri" w:hAnsi="Calibri" w:eastAsia="微软雅黑"/>
                <w:b w:val="0"/>
                <w:i w:val="0"/>
                <w:sz w:val="18"/>
              </w:rPr>
              <w:t>弱-中：分解子序列有频域含义</w:t>
            </w:r>
          </w:p>
        </w:tc>
        <w:tc>
          <w:tcPr>
            <w:tcW w:type="dxa" w:w="1295"/>
          </w:tcPr>
          <w:p>
            <w:r/>
            <w:r>
              <w:rPr>
                <w:rFonts w:ascii="Calibri" w:hAnsi="Calibri" w:eastAsia="微软雅黑"/>
                <w:b w:val="0"/>
                <w:i w:val="0"/>
                <w:sz w:val="18"/>
              </w:rPr>
              <w:t>中（≥2000点）</w:t>
            </w:r>
          </w:p>
        </w:tc>
        <w:tc>
          <w:tcPr>
            <w:tcW w:type="dxa" w:w="1295"/>
          </w:tcPr>
          <w:p>
            <w:r/>
            <w:r>
              <w:rPr>
                <w:rFonts w:ascii="Calibri" w:hAnsi="Calibri" w:eastAsia="微软雅黑"/>
                <w:b w:val="0"/>
                <w:i w:val="0"/>
                <w:sz w:val="18"/>
              </w:rPr>
              <w:t>中高（GPU小时级）</w:t>
            </w:r>
          </w:p>
        </w:tc>
        <w:tc>
          <w:tcPr>
            <w:tcW w:type="dxa" w:w="1295"/>
          </w:tcPr>
          <w:p>
            <w:r/>
            <w:r>
              <w:rPr>
                <w:rFonts w:ascii="Calibri" w:hAnsi="Calibri" w:eastAsia="微软雅黑"/>
                <w:b w:val="0"/>
                <w:i w:val="0"/>
                <w:sz w:val="18"/>
              </w:rPr>
              <w:t>→</w:t>
            </w:r>
          </w:p>
        </w:tc>
      </w:tr>
      <w:tr>
        <w:tc>
          <w:tcPr>
            <w:tcW w:type="dxa" w:w="1295"/>
          </w:tcPr>
          <w:p>
            <w:r/>
            <w:r>
              <w:rPr>
                <w:rFonts w:ascii="Calibri" w:hAnsi="Calibri" w:eastAsia="微软雅黑"/>
                <w:b w:val="0"/>
                <w:i w:val="0"/>
                <w:sz w:val="18"/>
              </w:rPr>
              <w:t>集成学习（XGBoost/GBM）</w:t>
            </w:r>
          </w:p>
        </w:tc>
        <w:tc>
          <w:tcPr>
            <w:tcW w:type="dxa" w:w="1295"/>
          </w:tcPr>
          <w:p>
            <w:r/>
            <w:r>
              <w:rPr>
                <w:rFonts w:ascii="Calibri" w:hAnsi="Calibri" w:eastAsia="微软雅黑"/>
                <w:b w:val="0"/>
                <w:i w:val="0"/>
                <w:sz w:val="18"/>
              </w:rPr>
              <w:t>[63] Khalil et al. (2022)</w:t>
            </w:r>
          </w:p>
        </w:tc>
        <w:tc>
          <w:tcPr>
            <w:tcW w:type="dxa" w:w="1295"/>
          </w:tcPr>
          <w:p>
            <w:r/>
            <w:r>
              <w:rPr>
                <w:rFonts w:ascii="Calibri" w:hAnsi="Calibri" w:eastAsia="微软雅黑"/>
                <w:b w:val="0"/>
                <w:i w:val="0"/>
                <w:sz w:val="18"/>
              </w:rPr>
              <w:t>RMSE较LSTM降低5%</w:t>
            </w:r>
          </w:p>
        </w:tc>
        <w:tc>
          <w:tcPr>
            <w:tcW w:type="dxa" w:w="1295"/>
          </w:tcPr>
          <w:p>
            <w:r/>
            <w:r>
              <w:rPr>
                <w:rFonts w:ascii="Calibri" w:hAnsi="Calibri" w:eastAsia="微软雅黑"/>
                <w:b w:val="0"/>
                <w:i w:val="0"/>
                <w:sz w:val="18"/>
              </w:rPr>
              <w:t>中：特征重要性、SHAP</w:t>
            </w:r>
          </w:p>
        </w:tc>
        <w:tc>
          <w:tcPr>
            <w:tcW w:type="dxa" w:w="1295"/>
          </w:tcPr>
          <w:p>
            <w:r/>
            <w:r>
              <w:rPr>
                <w:rFonts w:ascii="Calibri" w:hAnsi="Calibri" w:eastAsia="微软雅黑"/>
                <w:b w:val="0"/>
                <w:i w:val="0"/>
                <w:sz w:val="18"/>
              </w:rPr>
              <w:t>中（≥1000点）</w:t>
            </w:r>
          </w:p>
        </w:tc>
        <w:tc>
          <w:tcPr>
            <w:tcW w:type="dxa" w:w="1295"/>
          </w:tcPr>
          <w:p>
            <w:r/>
            <w:r>
              <w:rPr>
                <w:rFonts w:ascii="Calibri" w:hAnsi="Calibri" w:eastAsia="微软雅黑"/>
                <w:b w:val="0"/>
                <w:i w:val="0"/>
                <w:sz w:val="18"/>
              </w:rPr>
              <w:t>低（CPU分钟级）</w:t>
            </w:r>
          </w:p>
        </w:tc>
        <w:tc>
          <w:tcPr>
            <w:tcW w:type="dxa" w:w="1295"/>
          </w:tcPr>
          <w:p>
            <w:r/>
            <w:r>
              <w:rPr>
                <w:rFonts w:ascii="Calibri" w:hAnsi="Calibri" w:eastAsia="微软雅黑"/>
                <w:b w:val="0"/>
                <w:i w:val="0"/>
                <w:sz w:val="18"/>
              </w:rPr>
              <w:t>↑</w:t>
            </w:r>
          </w:p>
        </w:tc>
      </w:tr>
      <w:tr>
        <w:tc>
          <w:tcPr>
            <w:tcW w:type="dxa" w:w="1295"/>
          </w:tcPr>
          <w:p>
            <w:r/>
            <w:r>
              <w:rPr>
                <w:rFonts w:ascii="Calibri" w:hAnsi="Calibri" w:eastAsia="微软雅黑"/>
                <w:b w:val="0"/>
                <w:i w:val="0"/>
                <w:sz w:val="18"/>
              </w:rPr>
              <w:t>Transformer/注意力机制</w:t>
            </w:r>
          </w:p>
        </w:tc>
        <w:tc>
          <w:tcPr>
            <w:tcW w:type="dxa" w:w="1295"/>
          </w:tcPr>
          <w:p>
            <w:r/>
            <w:r>
              <w:rPr>
                <w:rFonts w:ascii="Calibri" w:hAnsi="Calibri" w:eastAsia="微软雅黑"/>
                <w:b w:val="0"/>
                <w:i w:val="0"/>
                <w:sz w:val="18"/>
              </w:rPr>
              <w:t>[66] Wazirali et al. (2023)</w:t>
            </w:r>
          </w:p>
        </w:tc>
        <w:tc>
          <w:tcPr>
            <w:tcW w:type="dxa" w:w="1295"/>
          </w:tcPr>
          <w:p>
            <w:r/>
            <w:r>
              <w:rPr>
                <w:rFonts w:ascii="Calibri" w:hAnsi="Calibri" w:eastAsia="微软雅黑"/>
                <w:b w:val="0"/>
                <w:i w:val="0"/>
                <w:sz w:val="18"/>
              </w:rPr>
              <w:t>小样本下过拟合风险高</w:t>
            </w:r>
          </w:p>
        </w:tc>
        <w:tc>
          <w:tcPr>
            <w:tcW w:type="dxa" w:w="1295"/>
          </w:tcPr>
          <w:p>
            <w:r/>
            <w:r>
              <w:rPr>
                <w:rFonts w:ascii="Calibri" w:hAnsi="Calibri" w:eastAsia="微软雅黑"/>
                <w:b w:val="0"/>
                <w:i w:val="0"/>
                <w:sz w:val="18"/>
              </w:rPr>
              <w:t>中：注意力权重</w:t>
            </w:r>
          </w:p>
        </w:tc>
        <w:tc>
          <w:tcPr>
            <w:tcW w:type="dxa" w:w="1295"/>
          </w:tcPr>
          <w:p>
            <w:r/>
            <w:r>
              <w:rPr>
                <w:rFonts w:ascii="Calibri" w:hAnsi="Calibri" w:eastAsia="微软雅黑"/>
                <w:b w:val="0"/>
                <w:i w:val="0"/>
                <w:sz w:val="18"/>
              </w:rPr>
              <w:t>高（≥10000点）</w:t>
            </w:r>
          </w:p>
        </w:tc>
        <w:tc>
          <w:tcPr>
            <w:tcW w:type="dxa" w:w="1295"/>
          </w:tcPr>
          <w:p>
            <w:r/>
            <w:r>
              <w:rPr>
                <w:rFonts w:ascii="Calibri" w:hAnsi="Calibri" w:eastAsia="微软雅黑"/>
                <w:b w:val="0"/>
                <w:i w:val="0"/>
                <w:sz w:val="18"/>
              </w:rPr>
              <w:t>高（GPU多小时）</w:t>
            </w:r>
          </w:p>
        </w:tc>
        <w:tc>
          <w:tcPr>
            <w:tcW w:type="dxa" w:w="1295"/>
          </w:tcPr>
          <w:p>
            <w:r/>
            <w:r>
              <w:rPr>
                <w:rFonts w:ascii="Calibri" w:hAnsi="Calibri" w:eastAsia="微软雅黑"/>
                <w:b w:val="0"/>
                <w:i w:val="0"/>
                <w:sz w:val="18"/>
              </w:rPr>
              <w:t>↑↑</w:t>
            </w:r>
          </w:p>
        </w:tc>
      </w:tr>
      <w:tr>
        <w:tc>
          <w:tcPr>
            <w:tcW w:type="dxa" w:w="1295"/>
          </w:tcPr>
          <w:p>
            <w:r/>
            <w:r>
              <w:rPr>
                <w:rFonts w:ascii="Calibri" w:hAnsi="Calibri" w:eastAsia="微软雅黑"/>
                <w:b w:val="0"/>
                <w:i w:val="0"/>
                <w:sz w:val="18"/>
              </w:rPr>
              <w:t>物理信息神经网络（PINN）</w:t>
            </w:r>
          </w:p>
        </w:tc>
        <w:tc>
          <w:tcPr>
            <w:tcW w:type="dxa" w:w="1295"/>
          </w:tcPr>
          <w:p>
            <w:r/>
            <w:r>
              <w:rPr>
                <w:rFonts w:ascii="Calibri" w:hAnsi="Calibri" w:eastAsia="微软雅黑"/>
                <w:b w:val="0"/>
                <w:i w:val="0"/>
                <w:sz w:val="18"/>
              </w:rPr>
              <w:t>[17] Willard et al. (2022)</w:t>
            </w:r>
          </w:p>
        </w:tc>
        <w:tc>
          <w:tcPr>
            <w:tcW w:type="dxa" w:w="1295"/>
          </w:tcPr>
          <w:p>
            <w:r/>
            <w:r>
              <w:rPr>
                <w:rFonts w:ascii="Calibri" w:hAnsi="Calibri" w:eastAsia="微软雅黑"/>
                <w:b w:val="0"/>
                <w:i w:val="0"/>
                <w:sz w:val="18"/>
              </w:rPr>
              <w:t>泛化误差在分布外降低30%</w:t>
            </w:r>
          </w:p>
        </w:tc>
        <w:tc>
          <w:tcPr>
            <w:tcW w:type="dxa" w:w="1295"/>
          </w:tcPr>
          <w:p>
            <w:r/>
            <w:r>
              <w:rPr>
                <w:rFonts w:ascii="Calibri" w:hAnsi="Calibri" w:eastAsia="微软雅黑"/>
                <w:b w:val="0"/>
                <w:i w:val="0"/>
                <w:sz w:val="18"/>
              </w:rPr>
              <w:t>强：物理约束嵌入</w:t>
            </w:r>
          </w:p>
        </w:tc>
        <w:tc>
          <w:tcPr>
            <w:tcW w:type="dxa" w:w="1295"/>
          </w:tcPr>
          <w:p>
            <w:r/>
            <w:r>
              <w:rPr>
                <w:rFonts w:ascii="Calibri" w:hAnsi="Calibri" w:eastAsia="微软雅黑"/>
                <w:b w:val="0"/>
                <w:i w:val="0"/>
                <w:sz w:val="18"/>
              </w:rPr>
              <w:t>中（物理先验知识）</w:t>
            </w:r>
          </w:p>
        </w:tc>
        <w:tc>
          <w:tcPr>
            <w:tcW w:type="dxa" w:w="1295"/>
          </w:tcPr>
          <w:p>
            <w:r/>
            <w:r>
              <w:rPr>
                <w:rFonts w:ascii="Calibri" w:hAnsi="Calibri" w:eastAsia="微软雅黑"/>
                <w:b w:val="0"/>
                <w:i w:val="0"/>
                <w:sz w:val="18"/>
              </w:rPr>
              <w:t>高（GPU小时级）</w:t>
            </w:r>
          </w:p>
        </w:tc>
        <w:tc>
          <w:tcPr>
            <w:tcW w:type="dxa" w:w="1295"/>
          </w:tcPr>
          <w:p>
            <w:r/>
            <w:r>
              <w:rPr>
                <w:rFonts w:ascii="Calibri" w:hAnsi="Calibri" w:eastAsia="微软雅黑"/>
                <w:b w:val="0"/>
                <w:i w:val="0"/>
                <w:sz w:val="18"/>
              </w:rPr>
              <w:t>↑↑</w:t>
            </w:r>
          </w:p>
        </w:tc>
      </w:tr>
      <w:tr>
        <w:tc>
          <w:tcPr>
            <w:tcW w:type="dxa" w:w="1295"/>
          </w:tcPr>
          <w:p>
            <w:r/>
            <w:r>
              <w:rPr>
                <w:rFonts w:ascii="Calibri" w:hAnsi="Calibri" w:eastAsia="微软雅黑"/>
                <w:b w:val="0"/>
                <w:i w:val="0"/>
                <w:sz w:val="18"/>
              </w:rPr>
              <w:t>混合模型（Ensemble/Hybrid）</w:t>
            </w:r>
          </w:p>
        </w:tc>
        <w:tc>
          <w:tcPr>
            <w:tcW w:type="dxa" w:w="1295"/>
          </w:tcPr>
          <w:p>
            <w:r/>
            <w:r>
              <w:rPr>
                <w:rFonts w:ascii="Calibri" w:hAnsi="Calibri" w:eastAsia="微软雅黑"/>
                <w:b w:val="0"/>
                <w:i w:val="0"/>
                <w:sz w:val="18"/>
              </w:rPr>
              <w:t>[41] Nadirgil (2023)</w:t>
            </w:r>
          </w:p>
        </w:tc>
        <w:tc>
          <w:tcPr>
            <w:tcW w:type="dxa" w:w="1295"/>
          </w:tcPr>
          <w:p>
            <w:r/>
            <w:r>
              <w:rPr>
                <w:rFonts w:ascii="Calibri" w:hAnsi="Calibri" w:eastAsia="微软雅黑"/>
                <w:b w:val="0"/>
                <w:i w:val="0"/>
                <w:sz w:val="18"/>
              </w:rPr>
              <w:t>MAPE=3.2%（碳价预测）</w:t>
            </w:r>
          </w:p>
        </w:tc>
        <w:tc>
          <w:tcPr>
            <w:tcW w:type="dxa" w:w="1295"/>
          </w:tcPr>
          <w:p>
            <w:r/>
            <w:r>
              <w:rPr>
                <w:rFonts w:ascii="Calibri" w:hAnsi="Calibri" w:eastAsia="微软雅黑"/>
                <w:b w:val="0"/>
                <w:i w:val="0"/>
                <w:sz w:val="18"/>
              </w:rPr>
              <w:t>中-强：混合可解释</w:t>
            </w:r>
          </w:p>
        </w:tc>
        <w:tc>
          <w:tcPr>
            <w:tcW w:type="dxa" w:w="1295"/>
          </w:tcPr>
          <w:p>
            <w:r/>
            <w:r>
              <w:rPr>
                <w:rFonts w:ascii="Calibri" w:hAnsi="Calibri" w:eastAsia="微软雅黑"/>
                <w:b w:val="0"/>
                <w:i w:val="0"/>
                <w:sz w:val="18"/>
              </w:rPr>
              <w:t>中-高（≥2000点）</w:t>
            </w:r>
          </w:p>
        </w:tc>
        <w:tc>
          <w:tcPr>
            <w:tcW w:type="dxa" w:w="1295"/>
          </w:tcPr>
          <w:p>
            <w:r/>
            <w:r>
              <w:rPr>
                <w:rFonts w:ascii="Calibri" w:hAnsi="Calibri" w:eastAsia="微软雅黑"/>
                <w:b w:val="0"/>
                <w:i w:val="0"/>
                <w:sz w:val="18"/>
              </w:rPr>
              <w:t>中-高（GPU小时级）</w:t>
            </w:r>
          </w:p>
        </w:tc>
        <w:tc>
          <w:tcPr>
            <w:tcW w:type="dxa" w:w="1295"/>
          </w:tcPr>
          <w:p>
            <w:r/>
            <w:r>
              <w:rPr>
                <w:rFonts w:ascii="Calibri" w:hAnsi="Calibri" w:eastAsia="微软雅黑"/>
                <w:b w:val="0"/>
                <w:i w:val="0"/>
                <w:sz w:val="18"/>
              </w:rPr>
              <w:t>↑↑</w:t>
            </w:r>
          </w:p>
        </w:tc>
      </w:tr>
      <w:tr>
        <w:tc>
          <w:tcPr>
            <w:tcW w:type="dxa" w:w="1295"/>
          </w:tcPr>
          <w:p>
            <w:r/>
            <w:r>
              <w:rPr>
                <w:rFonts w:ascii="Calibri" w:hAnsi="Calibri" w:eastAsia="微软雅黑"/>
                <w:b w:val="0"/>
                <w:i w:val="0"/>
                <w:sz w:val="18"/>
              </w:rPr>
              <w:t>因果推断方法</w:t>
            </w:r>
          </w:p>
        </w:tc>
        <w:tc>
          <w:tcPr>
            <w:tcW w:type="dxa" w:w="1295"/>
          </w:tcPr>
          <w:p>
            <w:r/>
            <w:r>
              <w:rPr>
                <w:rFonts w:ascii="Calibri" w:hAnsi="Calibri" w:eastAsia="微软雅黑"/>
                <w:b w:val="0"/>
                <w:i w:val="0"/>
                <w:sz w:val="18"/>
              </w:rPr>
              <w:t>[9] Schölkopf et al. (2021)</w:t>
            </w:r>
          </w:p>
        </w:tc>
        <w:tc>
          <w:tcPr>
            <w:tcW w:type="dxa" w:w="1295"/>
          </w:tcPr>
          <w:p>
            <w:r/>
            <w:r>
              <w:rPr>
                <w:rFonts w:ascii="Calibri" w:hAnsi="Calibri" w:eastAsia="微软雅黑"/>
                <w:b w:val="0"/>
                <w:i w:val="0"/>
                <w:sz w:val="18"/>
              </w:rPr>
              <w:t>未报告（理论框架）</w:t>
            </w:r>
          </w:p>
        </w:tc>
        <w:tc>
          <w:tcPr>
            <w:tcW w:type="dxa" w:w="1295"/>
          </w:tcPr>
          <w:p>
            <w:r/>
            <w:r>
              <w:rPr>
                <w:rFonts w:ascii="Calibri" w:hAnsi="Calibri" w:eastAsia="微软雅黑"/>
                <w:b w:val="0"/>
                <w:i w:val="0"/>
                <w:sz w:val="18"/>
              </w:rPr>
              <w:t>强：因果图揭示机理</w:t>
            </w:r>
          </w:p>
        </w:tc>
        <w:tc>
          <w:tcPr>
            <w:tcW w:type="dxa" w:w="1295"/>
          </w:tcPr>
          <w:p>
            <w:r/>
            <w:r>
              <w:rPr>
                <w:rFonts w:ascii="Calibri" w:hAnsi="Calibri" w:eastAsia="微软雅黑"/>
                <w:b w:val="0"/>
                <w:i w:val="0"/>
                <w:sz w:val="18"/>
              </w:rPr>
              <w:t>高（需干预/反事实数据）</w:t>
            </w:r>
          </w:p>
        </w:tc>
        <w:tc>
          <w:tcPr>
            <w:tcW w:type="dxa" w:w="1295"/>
          </w:tcPr>
          <w:p>
            <w:r/>
            <w:r>
              <w:rPr>
                <w:rFonts w:ascii="Calibri" w:hAnsi="Calibri" w:eastAsia="微软雅黑"/>
                <w:b w:val="0"/>
                <w:i w:val="0"/>
                <w:sz w:val="18"/>
              </w:rPr>
              <w:t>中（GPU小时级）</w:t>
            </w:r>
          </w:p>
        </w:tc>
        <w:tc>
          <w:tcPr>
            <w:tcW w:type="dxa" w:w="1295"/>
          </w:tcPr>
          <w:p>
            <w:r/>
            <w:r>
              <w:rPr>
                <w:rFonts w:ascii="Calibri" w:hAnsi="Calibri" w:eastAsia="微软雅黑"/>
                <w:b w:val="0"/>
                <w:i w:val="0"/>
                <w:sz w:val="18"/>
              </w:rPr>
              <w:t>↑</w:t>
            </w:r>
          </w:p>
        </w:tc>
      </w:tr>
    </w:tbl>
    <w:p/>
    <w:p>
      <w:pPr>
        <w:pStyle w:val="Heading3"/>
      </w:pPr>
      <w:r>
        <w:rPr>
          <w:rFonts w:ascii="Calibri" w:hAnsi="Calibri" w:eastAsia="微软雅黑"/>
          <w:b/>
          <w:i w:val="0"/>
          <w:color w:val="1A1A2E"/>
          <w:sz w:val="20"/>
        </w:rPr>
        <w:t>2.3 辩论焦点：方法论适用性的部门交锋</w:t>
      </w:r>
    </w:p>
    <w:p>
      <w:r>
        <w:rPr>
          <w:rFonts w:ascii="Calibri" w:hAnsi="Calibri" w:eastAsia="微软雅黑"/>
          <w:b w:val="0"/>
          <w:i w:val="0"/>
          <w:sz w:val="21"/>
        </w:rPr>
      </w:r>
      <w:r>
        <w:rPr>
          <w:rFonts w:ascii="Calibri" w:hAnsi="Calibri" w:eastAsia="微软雅黑"/>
          <w:b/>
          <w:i w:val="0"/>
          <w:sz w:val="21"/>
        </w:rPr>
        <w:t>辩论焦点1：优先选择XGBoost还是LSTM作为主力模型？</w:t>
      </w:r>
      <w:r>
        <w:rPr>
          <w:rFonts w:ascii="Calibri" w:hAnsi="Calibri" w:eastAsia="微软雅黑"/>
          <w:b w:val="0"/>
          <w:i w:val="0"/>
          <w:sz w:val="21"/>
        </w:rPr>
      </w:r>
    </w:p>
    <w:p>
      <w:r>
        <w:rPr>
          <w:rFonts w:ascii="Calibri" w:hAnsi="Calibri" w:eastAsia="微软雅黑"/>
          <w:b w:val="0"/>
          <w:i w:val="0"/>
          <w:sz w:val="21"/>
        </w:rPr>
      </w:r>
      <w:r>
        <w:rPr>
          <w:rFonts w:ascii="Calibri" w:hAnsi="Calibri" w:eastAsia="微软雅黑"/>
          <w:b/>
          <w:i w:val="0"/>
          <w:sz w:val="21"/>
        </w:rPr>
        <w:t>技术选型师部门</w:t>
      </w:r>
      <w:r>
        <w:rPr>
          <w:rFonts w:ascii="Calibri" w:hAnsi="Calibri" w:eastAsia="微软雅黑"/>
          <w:b w:val="0"/>
          <w:i w:val="0"/>
          <w:sz w:val="21"/>
        </w:rPr>
        <w:t>认为，LSTM是能源经济学领域验证最充分的主力模型，其论文引用证据链最长[54,59,60]，在负荷预测和可再生能源预测中MAPE可低至3-5%，应对长期依赖具有结构优势。</w:t>
      </w:r>
      <w:r>
        <w:rPr>
          <w:rFonts w:ascii="Calibri" w:hAnsi="Calibri" w:eastAsia="微软雅黑"/>
          <w:b/>
          <w:i w:val="0"/>
          <w:sz w:val="21"/>
        </w:rPr>
        <w:t>调试优化师部门</w:t>
      </w:r>
      <w:r>
        <w:rPr>
          <w:rFonts w:ascii="Calibri" w:hAnsi="Calibri" w:eastAsia="微软雅黑"/>
          <w:b w:val="0"/>
          <w:i w:val="0"/>
          <w:sz w:val="21"/>
        </w:rPr>
        <w:t>则基于工程实践提出反方意见：当数据量有限（&lt;5000点）或存在结构性突变（如政策冲击导致的碳价跳变），XGBoost不仅训练速度更快（CPU分钟级 vs GPU小时级），其可解释性（特征重要性、SHAP值）也更适应能源经济学分析需求，且</w:t>
      </w:r>
      <w:r>
        <w:rPr>
          <w:rFonts w:ascii="Calibri" w:hAnsi="Calibri" w:eastAsia="微软雅黑"/>
          <w:b/>
          <w:i w:val="0"/>
          <w:color w:val="2980B9"/>
          <w:sz w:val="21"/>
        </w:rPr>
        <w:t>[63]</w:t>
      </w:r>
      <w:r>
        <w:rPr>
          <w:rFonts w:ascii="Calibri" w:hAnsi="Calibri" w:eastAsia="微软雅黑"/>
          <w:b w:val="0"/>
          <w:i w:val="0"/>
          <w:sz w:val="21"/>
        </w:rPr>
        <w:t>的研究表明在RMSE上XGBoost较LSTM有约5%的优势。</w:t>
      </w:r>
    </w:p>
    <w:p>
      <w:r>
        <w:rPr>
          <w:rFonts w:ascii="Calibri" w:hAnsi="Calibri" w:eastAsia="微软雅黑"/>
          <w:b w:val="0"/>
          <w:i w:val="0"/>
          <w:sz w:val="21"/>
        </w:rPr>
      </w:r>
      <w:r>
        <w:rPr>
          <w:rFonts w:ascii="Calibri" w:hAnsi="Calibri" w:eastAsia="微软雅黑"/>
          <w:b/>
          <w:i w:val="0"/>
          <w:sz w:val="21"/>
        </w:rPr>
        <w:t>交叉辩论结论</w:t>
      </w:r>
      <w:r>
        <w:rPr>
          <w:rFonts w:ascii="Calibri" w:hAnsi="Calibri" w:eastAsia="微软雅黑"/>
          <w:b w:val="0"/>
          <w:i w:val="0"/>
          <w:sz w:val="21"/>
        </w:rPr>
        <w:t>：两个部门最终达成“分阶段实施”共识——第一阶段以XGBoost建立强基线，快速验证关键特征的有效性；第二阶段引入LSTM作为主力模型，利用其捕获长期依赖的能力；第三阶段探索LSTM+XGBoost混合架构，将LSTM的隐藏状态向量作为XGBoost的输入特征之一。这种分层策略兼顾了调试效率和模型性能。</w:t>
      </w:r>
    </w:p>
    <w:p>
      <w:r>
        <w:rPr>
          <w:rFonts w:ascii="Calibri" w:hAnsi="Calibri" w:eastAsia="微软雅黑"/>
          <w:b w:val="0"/>
          <w:i w:val="0"/>
          <w:sz w:val="21"/>
        </w:rPr>
      </w:r>
      <w:r>
        <w:rPr>
          <w:rFonts w:ascii="Calibri" w:hAnsi="Calibri" w:eastAsia="微软雅黑"/>
          <w:b/>
          <w:i w:val="0"/>
          <w:sz w:val="21"/>
        </w:rPr>
        <w:t>辩论焦点2：深度学习的性能优势是否经得起统计检验？</w:t>
      </w:r>
      <w:r>
        <w:rPr>
          <w:rFonts w:ascii="Calibri" w:hAnsi="Calibri" w:eastAsia="微软雅黑"/>
          <w:b w:val="0"/>
          <w:i w:val="0"/>
          <w:sz w:val="21"/>
        </w:rPr>
      </w:r>
    </w:p>
    <w:p>
      <w:r>
        <w:rPr>
          <w:rFonts w:ascii="Calibri" w:hAnsi="Calibri" w:eastAsia="微软雅黑"/>
          <w:b w:val="0"/>
          <w:i w:val="0"/>
          <w:sz w:val="21"/>
        </w:rPr>
      </w:r>
      <w:r>
        <w:rPr>
          <w:rFonts w:ascii="Calibri" w:hAnsi="Calibri" w:eastAsia="微软雅黑"/>
          <w:b/>
          <w:i w:val="0"/>
          <w:sz w:val="21"/>
        </w:rPr>
        <w:t>严谨性质疑部门</w:t>
      </w:r>
      <w:r>
        <w:rPr>
          <w:rFonts w:ascii="Calibri" w:hAnsi="Calibri" w:eastAsia="微软雅黑"/>
          <w:b w:val="0"/>
          <w:i w:val="0"/>
          <w:sz w:val="21"/>
        </w:rPr>
        <w:t>基于方法论审查提出了尖锐批评：在现有文献中，“优于”传统模型的主张大多缺少Diebold-Mariano等统计显著性检验，也缺少跨数据集的滚动窗口验证。例如，</w:t>
      </w:r>
      <w:r>
        <w:rPr>
          <w:rFonts w:ascii="Calibri" w:hAnsi="Calibri" w:eastAsia="微软雅黑"/>
          <w:b/>
          <w:i w:val="0"/>
          <w:color w:val="2980B9"/>
          <w:sz w:val="21"/>
        </w:rPr>
        <w:t>[51]</w:t>
      </w:r>
      <w:r>
        <w:rPr>
          <w:rFonts w:ascii="Calibri" w:hAnsi="Calibri" w:eastAsia="微软雅黑"/>
          <w:b w:val="0"/>
          <w:i w:val="0"/>
          <w:sz w:val="21"/>
        </w:rPr>
        <w:t>和</w:t>
      </w:r>
      <w:r>
        <w:rPr>
          <w:rFonts w:ascii="Calibri" w:hAnsi="Calibri" w:eastAsia="微软雅黑"/>
          <w:b/>
          <w:i w:val="0"/>
          <w:color w:val="2980B9"/>
          <w:sz w:val="21"/>
        </w:rPr>
        <w:t>[52]</w:t>
      </w:r>
      <w:r>
        <w:rPr>
          <w:rFonts w:ascii="Calibri" w:hAnsi="Calibri" w:eastAsia="微软雅黑"/>
          <w:b w:val="0"/>
          <w:i w:val="0"/>
          <w:sz w:val="21"/>
        </w:rPr>
        <w:t>虽然报告了高精度，但未披露是否在至少两个独立数据集上验证了结果的稳定性。</w:t>
      </w:r>
      <w:r>
        <w:rPr>
          <w:rFonts w:ascii="Calibri" w:hAnsi="Calibri" w:eastAsia="微软雅黑"/>
          <w:b/>
          <w:i w:val="0"/>
          <w:sz w:val="21"/>
        </w:rPr>
        <w:t>创新性识别部门</w:t>
      </w:r>
      <w:r>
        <w:rPr>
          <w:rFonts w:ascii="Calibri" w:hAnsi="Calibri" w:eastAsia="微软雅黑"/>
          <w:b w:val="0"/>
          <w:i w:val="0"/>
          <w:sz w:val="21"/>
        </w:rPr>
        <w:t>补充指出，深层架构的提升在实验设定下是统计显著的（如</w:t>
      </w:r>
      <w:r>
        <w:rPr>
          <w:rFonts w:ascii="Calibri" w:hAnsi="Calibri" w:eastAsia="微软雅黑"/>
          <w:b/>
          <w:i w:val="0"/>
          <w:color w:val="2980B9"/>
          <w:sz w:val="21"/>
        </w:rPr>
        <w:t>[60]</w:t>
      </w:r>
      <w:r>
        <w:rPr>
          <w:rFonts w:ascii="Calibri" w:hAnsi="Calibri" w:eastAsia="微软雅黑"/>
          <w:b w:val="0"/>
          <w:i w:val="0"/>
          <w:sz w:val="21"/>
        </w:rPr>
        <w:t>的MAPE差值达1.8个百分点），但这种提升是否反映结构优势还是数据任意性，需要更严格的基准设计。</w:t>
      </w:r>
    </w:p>
    <w:p>
      <w:r>
        <w:rPr>
          <w:rFonts w:ascii="Calibri" w:hAnsi="Calibri" w:eastAsia="微软雅黑"/>
          <w:b w:val="0"/>
          <w:i w:val="0"/>
          <w:sz w:val="21"/>
        </w:rPr>
      </w:r>
      <w:r>
        <w:rPr>
          <w:rFonts w:ascii="Calibri" w:hAnsi="Calibri" w:eastAsia="微软雅黑"/>
          <w:b/>
          <w:i w:val="0"/>
          <w:sz w:val="21"/>
        </w:rPr>
        <w:t>交叉辩论结论</w:t>
      </w:r>
      <w:r>
        <w:rPr>
          <w:rFonts w:ascii="Calibri" w:hAnsi="Calibri" w:eastAsia="微软雅黑"/>
          <w:b w:val="0"/>
          <w:i w:val="0"/>
          <w:sz w:val="21"/>
        </w:rPr>
        <w:t>：双方认同，未来研究报告必须包含至少一项统计检验（如DM检验）和跨数据集验证结果。</w:t>
      </w:r>
      <w:r>
        <w:rPr>
          <w:rFonts w:ascii="Calibri" w:hAnsi="Calibri" w:eastAsia="微软雅黑"/>
          <w:b/>
          <w:i w:val="0"/>
          <w:color w:val="2980B9"/>
          <w:sz w:val="21"/>
        </w:rPr>
        <w:t>[18]</w:t>
      </w:r>
      <w:r>
        <w:rPr>
          <w:rFonts w:ascii="Calibri" w:hAnsi="Calibri" w:eastAsia="微软雅黑"/>
          <w:b w:val="0"/>
          <w:i w:val="0"/>
          <w:sz w:val="21"/>
        </w:rPr>
        <w:t>的警告——机器学习在短期预测中的优势可能伴随鲁棒性牺牲——应被视为方法论警告而非否定，未来的研究需要在报告性能时主动标注适用边界（如数据量级、平稳性特征）。</w:t>
      </w:r>
    </w:p>
    <w:p>
      <w:r>
        <w:rPr>
          <w:rFonts w:ascii="Calibri" w:hAnsi="Calibri" w:eastAsia="微软雅黑"/>
          <w:b w:val="0"/>
          <w:i w:val="0"/>
          <w:sz w:val="21"/>
        </w:rPr>
      </w:r>
      <w:r>
        <w:rPr>
          <w:rFonts w:ascii="Calibri" w:hAnsi="Calibri" w:eastAsia="微软雅黑"/>
          <w:b/>
          <w:i w:val="0"/>
          <w:sz w:val="21"/>
        </w:rPr>
        <w:t>辩论焦点3：Transformer在时间序列预测中的定位问题？</w:t>
      </w:r>
      <w:r>
        <w:rPr>
          <w:rFonts w:ascii="Calibri" w:hAnsi="Calibri" w:eastAsia="微软雅黑"/>
          <w:b w:val="0"/>
          <w:i w:val="0"/>
          <w:sz w:val="21"/>
        </w:rPr>
      </w:r>
    </w:p>
    <w:p>
      <w:r>
        <w:rPr>
          <w:rFonts w:ascii="Calibri" w:hAnsi="Calibri" w:eastAsia="微软雅黑"/>
          <w:b w:val="0"/>
          <w:i w:val="0"/>
          <w:sz w:val="21"/>
        </w:rPr>
      </w:r>
      <w:r>
        <w:rPr>
          <w:rFonts w:ascii="Calibri" w:hAnsi="Calibri" w:eastAsia="微软雅黑"/>
          <w:b/>
          <w:i w:val="0"/>
          <w:sz w:val="21"/>
        </w:rPr>
        <w:t>反例搜寻派</w:t>
      </w:r>
      <w:r>
        <w:rPr>
          <w:rFonts w:ascii="Calibri" w:hAnsi="Calibri" w:eastAsia="微软雅黑"/>
          <w:b w:val="0"/>
          <w:i w:val="0"/>
          <w:sz w:val="21"/>
        </w:rPr>
        <w:t>指出，在中小规模数据集（训练样本&lt;10万点）上，Transformer因参数量大（O(n²)注意力计算）易过拟合，</w:t>
      </w:r>
      <w:r>
        <w:rPr>
          <w:rFonts w:ascii="Calibri" w:hAnsi="Calibri" w:eastAsia="微软雅黑"/>
          <w:b/>
          <w:i w:val="0"/>
          <w:color w:val="2980B9"/>
          <w:sz w:val="21"/>
        </w:rPr>
        <w:t>[66]</w:t>
      </w:r>
      <w:r>
        <w:rPr>
          <w:rFonts w:ascii="Calibri" w:hAnsi="Calibri" w:eastAsia="微软雅黑"/>
          <w:b w:val="0"/>
          <w:i w:val="0"/>
          <w:sz w:val="21"/>
        </w:rPr>
        <w:t>的综述也确认其在能源预测中的有效性仍待验证。</w:t>
      </w:r>
      <w:r>
        <w:rPr>
          <w:rFonts w:ascii="Calibri" w:hAnsi="Calibri" w:eastAsia="微软雅黑"/>
          <w:b/>
          <w:i w:val="0"/>
          <w:sz w:val="21"/>
        </w:rPr>
        <w:t>创新性识别部门</w:t>
      </w:r>
      <w:r>
        <w:rPr>
          <w:rFonts w:ascii="Calibri" w:hAnsi="Calibri" w:eastAsia="微软雅黑"/>
          <w:b w:val="0"/>
          <w:i w:val="0"/>
          <w:sz w:val="21"/>
        </w:rPr>
        <w:t>则认为，Transformer（如Informer、Autoformer等变体）在处理极长序列和多变量关联时具有潜在优势，且已有研究在其结构上开始探索更轻量的注意力机制。</w:t>
      </w:r>
    </w:p>
    <w:p>
      <w:r>
        <w:rPr>
          <w:rFonts w:ascii="Calibri" w:hAnsi="Calibri" w:eastAsia="微软雅黑"/>
          <w:b w:val="0"/>
          <w:i w:val="0"/>
          <w:sz w:val="21"/>
        </w:rPr>
      </w:r>
      <w:r>
        <w:rPr>
          <w:rFonts w:ascii="Calibri" w:hAnsi="Calibri" w:eastAsia="微软雅黑"/>
          <w:b/>
          <w:i w:val="0"/>
          <w:sz w:val="21"/>
        </w:rPr>
        <w:t>交叉辩论结论</w:t>
      </w:r>
      <w:r>
        <w:rPr>
          <w:rFonts w:ascii="Calibri" w:hAnsi="Calibri" w:eastAsia="微软雅黑"/>
          <w:b w:val="0"/>
          <w:i w:val="0"/>
          <w:sz w:val="21"/>
        </w:rPr>
        <w:t>：双方一致认为，在当前阶段Transformer应作为探索方向而非主力候选，投入前提是数据量充足（≥10万点）且有GPU算力支持。建议先从时间和计算开销更可控的轻量变体开始实验。</w:t>
      </w:r>
    </w:p>
    <w:p>
      <w:pPr>
        <w:pStyle w:val="Heading2"/>
      </w:pPr>
      <w:r>
        <w:rPr>
          <w:rFonts w:ascii="Calibri" w:hAnsi="Calibri" w:eastAsia="微软雅黑"/>
          <w:b/>
          <w:i w:val="0"/>
          <w:color w:val="1A1A2E"/>
          <w:sz w:val="24"/>
        </w:rPr>
        <w:t>三、核心发现与争议</w:t>
      </w:r>
    </w:p>
    <w:p>
      <w:r>
        <w:rPr>
          <w:rFonts w:ascii="Calibri" w:hAnsi="Calibri" w:eastAsia="微软雅黑"/>
          <w:b w:val="0"/>
          <w:i w:val="0"/>
          <w:sz w:val="21"/>
        </w:rPr>
      </w:r>
      <w:r>
        <w:rPr>
          <w:rFonts w:ascii="Calibri" w:hAnsi="Calibri" w:eastAsia="微软雅黑"/>
          <w:b/>
          <w:i w:val="0"/>
          <w:sz w:val="21"/>
        </w:rPr>
        <w:t>发现1：混合模型的预测精度优于单一架构，但并非无条件成立。</w:t>
      </w:r>
      <w:r>
        <w:rPr>
          <w:rFonts w:ascii="Calibri" w:hAnsi="Calibri" w:eastAsia="微软雅黑"/>
          <w:b w:val="0"/>
          <w:i w:val="0"/>
          <w:sz w:val="21"/>
        </w:rPr>
      </w:r>
    </w:p>
    <w:p>
      <w:r>
        <w:rPr>
          <w:rFonts w:ascii="Calibri" w:hAnsi="Calibri" w:eastAsia="微软雅黑"/>
          <w:b w:val="0"/>
          <w:i w:val="0"/>
          <w:sz w:val="21"/>
        </w:rPr>
      </w:r>
      <w:r>
        <w:rPr>
          <w:rFonts w:ascii="Calibri" w:hAnsi="Calibri" w:eastAsia="微软雅黑"/>
          <w:b/>
          <w:i w:val="0"/>
          <w:sz w:val="21"/>
        </w:rPr>
        <w:t>支持证据</w:t>
      </w:r>
      <w:r>
        <w:rPr>
          <w:rFonts w:ascii="Calibri" w:hAnsi="Calibri" w:eastAsia="微软雅黑"/>
          <w:b w:val="0"/>
          <w:i w:val="0"/>
          <w:sz w:val="21"/>
        </w:rPr>
        <w:t>：Qiu等人</w:t>
      </w:r>
      <w:r>
        <w:rPr>
          <w:rFonts w:ascii="Calibri" w:hAnsi="Calibri" w:eastAsia="微软雅黑"/>
          <w:b/>
          <w:i w:val="0"/>
          <w:color w:val="2980B9"/>
          <w:sz w:val="21"/>
        </w:rPr>
        <w:t>[60]</w:t>
      </w:r>
      <w:r>
        <w:rPr>
          <w:rFonts w:ascii="Calibri" w:hAnsi="Calibri" w:eastAsia="微软雅黑"/>
          <w:b w:val="0"/>
          <w:i w:val="0"/>
          <w:sz w:val="21"/>
        </w:rPr>
        <w:t>提出的EMD-集成深度学习方法，在电力需求预测中将MAPE降至4.2%，较单一LSTM模型降低了30%（MAPE差值1.8个百分点），且在不同季节和负荷水平下均保持优势。Nadirgil</w:t>
      </w:r>
      <w:r>
        <w:rPr>
          <w:rFonts w:ascii="Calibri" w:hAnsi="Calibri" w:eastAsia="微软雅黑"/>
          <w:b/>
          <w:i w:val="0"/>
          <w:color w:val="2980B9"/>
          <w:sz w:val="21"/>
        </w:rPr>
        <w:t>[41]</w:t>
      </w:r>
      <w:r>
        <w:rPr>
          <w:rFonts w:ascii="Calibri" w:hAnsi="Calibri" w:eastAsia="微软雅黑"/>
          <w:b w:val="0"/>
          <w:i w:val="0"/>
          <w:sz w:val="21"/>
        </w:rPr>
        <w:t>组合了多个机器学习模型进行碳价预测，MAPE达到3.2%，较单一XGBoost模型降低了约15%。Kumari等人</w:t>
      </w:r>
      <w:r>
        <w:rPr>
          <w:rFonts w:ascii="Calibri" w:hAnsi="Calibri" w:eastAsia="微软雅黑"/>
          <w:b/>
          <w:i w:val="0"/>
          <w:color w:val="2980B9"/>
          <w:sz w:val="21"/>
        </w:rPr>
        <w:t>[61]</w:t>
      </w:r>
      <w:r>
        <w:rPr>
          <w:rFonts w:ascii="Calibri" w:hAnsi="Calibri" w:eastAsia="微软雅黑"/>
          <w:b w:val="0"/>
          <w:i w:val="0"/>
          <w:sz w:val="21"/>
        </w:rPr>
        <w:t>系统比较了太阳能辐照度预测中的模型组合，指出CNN-LSTM混合模型的RMSE较独立CNN降低约15%。</w:t>
      </w:r>
    </w:p>
    <w:p>
      <w:r>
        <w:rPr>
          <w:rFonts w:ascii="Calibri" w:hAnsi="Calibri" w:eastAsia="微软雅黑"/>
          <w:b w:val="0"/>
          <w:i w:val="0"/>
          <w:sz w:val="21"/>
        </w:rPr>
      </w:r>
      <w:r>
        <w:rPr>
          <w:rFonts w:ascii="Calibri" w:hAnsi="Calibri" w:eastAsia="微软雅黑"/>
          <w:b/>
          <w:i w:val="0"/>
          <w:sz w:val="21"/>
        </w:rPr>
        <w:t>反方质疑</w:t>
      </w:r>
      <w:r>
        <w:rPr>
          <w:rFonts w:ascii="Calibri" w:hAnsi="Calibri" w:eastAsia="微软雅黑"/>
          <w:b w:val="0"/>
          <w:i w:val="0"/>
          <w:sz w:val="21"/>
        </w:rPr>
        <w:t>：Makridakis等人</w:t>
      </w:r>
      <w:r>
        <w:rPr>
          <w:rFonts w:ascii="Calibri" w:hAnsi="Calibri" w:eastAsia="微软雅黑"/>
          <w:b/>
          <w:i w:val="0"/>
          <w:color w:val="2980B9"/>
          <w:sz w:val="21"/>
        </w:rPr>
        <w:t>[18]</w:t>
      </w:r>
      <w:r>
        <w:rPr>
          <w:rFonts w:ascii="Calibri" w:hAnsi="Calibri" w:eastAsia="微软雅黑"/>
          <w:b w:val="0"/>
          <w:i w:val="0"/>
          <w:sz w:val="21"/>
        </w:rPr>
        <w:t>基于广泛的实证对比发现，混合模型的提升并非在所有数据场景下可复现：当数据信噪比低（如存在大量异常值或政策冲击）或样本量不足（&lt;1000个时间步）时，分解-集成方法的边际收益递减，甚至因虚假分量的引入而劣于直接建模。这意味着混合模型的结构复杂度本身并非精度保障。</w:t>
      </w:r>
    </w:p>
    <w:p>
      <w:r>
        <w:rPr>
          <w:rFonts w:ascii="Calibri" w:hAnsi="Calibri" w:eastAsia="微软雅黑"/>
          <w:b w:val="0"/>
          <w:i w:val="0"/>
          <w:sz w:val="21"/>
        </w:rPr>
      </w:r>
      <w:r>
        <w:rPr>
          <w:rFonts w:ascii="Calibri" w:hAnsi="Calibri" w:eastAsia="微软雅黑"/>
          <w:b/>
          <w:i w:val="0"/>
          <w:sz w:val="21"/>
        </w:rPr>
        <w:t>辩论结论</w:t>
      </w:r>
      <w:r>
        <w:rPr>
          <w:rFonts w:ascii="Calibri" w:hAnsi="Calibri" w:eastAsia="微软雅黑"/>
          <w:b w:val="0"/>
          <w:i w:val="0"/>
          <w:sz w:val="21"/>
        </w:rPr>
        <w:t>：交叉验证组的共识指出，混合模型提升的可靠性依赖于数据特性——在充分长度（≥2000点）且信噪比较高的情况下，EMD+深度学习的组合确实带来30%的误差降低；但小样本或噪声主导场景下，简单模型反而更优。未来的研究报告应主动标明数据特征条件。</w:t>
      </w:r>
    </w:p>
    <w:p>
      <w:r>
        <w:rPr>
          <w:rFonts w:ascii="Calibri" w:hAnsi="Calibri" w:eastAsia="微软雅黑"/>
          <w:b w:val="0"/>
          <w:i w:val="0"/>
          <w:sz w:val="21"/>
        </w:rPr>
      </w:r>
      <w:r>
        <w:rPr>
          <w:rFonts w:ascii="Calibri" w:hAnsi="Calibri" w:eastAsia="微软雅黑"/>
          <w:b/>
          <w:i w:val="0"/>
          <w:sz w:val="21"/>
        </w:rPr>
        <w:t>置信度</w:t>
      </w:r>
      <w:r>
        <w:rPr>
          <w:rFonts w:ascii="Calibri" w:hAnsi="Calibri" w:eastAsia="微软雅黑"/>
          <w:b w:val="0"/>
          <w:i w:val="0"/>
          <w:sz w:val="21"/>
        </w:rPr>
        <w:t>：🟢高</w:t>
      </w:r>
    </w:p>
    <w:p>
      <w:r>
        <w:rPr>
          <w:rFonts w:ascii="Calibri" w:hAnsi="Calibri" w:eastAsia="微软雅黑"/>
          <w:b w:val="0"/>
          <w:i w:val="0"/>
          <w:sz w:val="21"/>
        </w:rPr>
      </w:r>
      <w:r>
        <w:rPr>
          <w:rFonts w:ascii="Calibri" w:hAnsi="Calibri" w:eastAsia="微软雅黑"/>
          <w:b/>
          <w:i w:val="0"/>
          <w:sz w:val="21"/>
        </w:rPr>
        <w:t>发现2：可解释性缺失是当前研究的关键方法论缺陷。</w:t>
      </w:r>
      <w:r>
        <w:rPr>
          <w:rFonts w:ascii="Calibri" w:hAnsi="Calibri" w:eastAsia="微软雅黑"/>
          <w:b w:val="0"/>
          <w:i w:val="0"/>
          <w:sz w:val="21"/>
        </w:rPr>
      </w:r>
    </w:p>
    <w:p>
      <w:r>
        <w:rPr>
          <w:rFonts w:ascii="Calibri" w:hAnsi="Calibri" w:eastAsia="微软雅黑"/>
          <w:b w:val="0"/>
          <w:i w:val="0"/>
          <w:sz w:val="21"/>
        </w:rPr>
      </w:r>
      <w:r>
        <w:rPr>
          <w:rFonts w:ascii="Calibri" w:hAnsi="Calibri" w:eastAsia="微软雅黑"/>
          <w:b/>
          <w:i w:val="0"/>
          <w:sz w:val="21"/>
        </w:rPr>
        <w:t>支持证据</w:t>
      </w:r>
      <w:r>
        <w:rPr>
          <w:rFonts w:ascii="Calibri" w:hAnsi="Calibri" w:eastAsia="微软雅黑"/>
          <w:b w:val="0"/>
          <w:i w:val="0"/>
          <w:sz w:val="21"/>
        </w:rPr>
        <w:t>：Barredo Arrieta等人</w:t>
      </w:r>
      <w:r>
        <w:rPr>
          <w:rFonts w:ascii="Calibri" w:hAnsi="Calibri" w:eastAsia="微软雅黑"/>
          <w:b/>
          <w:i w:val="0"/>
          <w:color w:val="2980B9"/>
          <w:sz w:val="21"/>
        </w:rPr>
        <w:t>[1]</w:t>
      </w:r>
      <w:r>
        <w:rPr>
          <w:rFonts w:ascii="Calibri" w:hAnsi="Calibri" w:eastAsia="微软雅黑"/>
          <w:b w:val="0"/>
          <w:i w:val="0"/>
          <w:sz w:val="21"/>
        </w:rPr>
        <w:t>系统指出，即使是高精度XAI方法，其解释本身也存在不稳定性和不一致性问题。在能源经济学场景中，模型若预测“某地区下一小时的电力负荷将急增”，却无法解释是温度、经济指标还是政策预期驱动的，则决策者无法信任该预测用于电网调度。Ghoddusi等人</w:t>
      </w:r>
      <w:r>
        <w:rPr>
          <w:rFonts w:ascii="Calibri" w:hAnsi="Calibri" w:eastAsia="微软雅黑"/>
          <w:b/>
          <w:i w:val="0"/>
          <w:color w:val="2980B9"/>
          <w:sz w:val="21"/>
        </w:rPr>
        <w:t>[14]</w:t>
      </w:r>
      <w:r>
        <w:rPr>
          <w:rFonts w:ascii="Calibri" w:hAnsi="Calibri" w:eastAsia="微软雅黑"/>
          <w:b w:val="0"/>
          <w:i w:val="0"/>
          <w:sz w:val="21"/>
        </w:rPr>
        <w:t>在能源经济学综述中同样强调了可解释性对政策建议的重要性。</w:t>
      </w:r>
    </w:p>
    <w:p>
      <w:r>
        <w:rPr>
          <w:rFonts w:ascii="Calibri" w:hAnsi="Calibri" w:eastAsia="微软雅黑"/>
          <w:b w:val="0"/>
          <w:i w:val="0"/>
          <w:sz w:val="21"/>
        </w:rPr>
      </w:r>
      <w:r>
        <w:rPr>
          <w:rFonts w:ascii="Calibri" w:hAnsi="Calibri" w:eastAsia="微软雅黑"/>
          <w:b/>
          <w:i w:val="0"/>
          <w:sz w:val="21"/>
        </w:rPr>
        <w:t>反方质疑</w:t>
      </w:r>
      <w:r>
        <w:rPr>
          <w:rFonts w:ascii="Calibri" w:hAnsi="Calibri" w:eastAsia="微软雅黑"/>
          <w:b w:val="0"/>
          <w:i w:val="0"/>
          <w:sz w:val="21"/>
        </w:rPr>
        <w:t>：方法论审查部门（严谨性质疑派）基于7维量化评估发现，在当前论文列表中，直接引用XAI方法进行可解释性分析的论文数量极少（仅</w:t>
      </w:r>
      <w:r>
        <w:rPr>
          <w:rFonts w:ascii="Calibri" w:hAnsi="Calibri" w:eastAsia="微软雅黑"/>
          <w:b/>
          <w:i w:val="0"/>
          <w:color w:val="2980B9"/>
          <w:sz w:val="21"/>
        </w:rPr>
        <w:t>[1]</w:t>
      </w:r>
      <w:r>
        <w:rPr>
          <w:rFonts w:ascii="Calibri" w:hAnsi="Calibri" w:eastAsia="微软雅黑"/>
          <w:b w:val="0"/>
          <w:i w:val="0"/>
          <w:sz w:val="21"/>
        </w:rPr>
        <w:t>是方法论综述），大多数核心预测研究（如</w:t>
      </w:r>
      <w:r>
        <w:rPr>
          <w:rFonts w:ascii="Calibri" w:hAnsi="Calibri" w:eastAsia="微软雅黑"/>
          <w:b/>
          <w:i w:val="0"/>
          <w:color w:val="2980B9"/>
          <w:sz w:val="21"/>
        </w:rPr>
        <w:t>[54]</w:t>
      </w:r>
      <w:r>
        <w:rPr>
          <w:rFonts w:ascii="Calibri" w:hAnsi="Calibri" w:eastAsia="微软雅黑"/>
          <w:b w:val="0"/>
          <w:i w:val="0"/>
          <w:sz w:val="21"/>
        </w:rPr>
        <w:t>、</w:t>
      </w:r>
      <w:r>
        <w:rPr>
          <w:rFonts w:ascii="Calibri" w:hAnsi="Calibri" w:eastAsia="微软雅黑"/>
          <w:b/>
          <w:i w:val="0"/>
          <w:color w:val="2980B9"/>
          <w:sz w:val="21"/>
        </w:rPr>
        <w:t>[59]</w:t>
      </w:r>
      <w:r>
        <w:rPr>
          <w:rFonts w:ascii="Calibri" w:hAnsi="Calibri" w:eastAsia="微软雅黑"/>
          <w:b w:val="0"/>
          <w:i w:val="0"/>
          <w:sz w:val="21"/>
        </w:rPr>
        <w:t>、</w:t>
      </w:r>
      <w:r>
        <w:rPr>
          <w:rFonts w:ascii="Calibri" w:hAnsi="Calibri" w:eastAsia="微软雅黑"/>
          <w:b/>
          <w:i w:val="0"/>
          <w:color w:val="2980B9"/>
          <w:sz w:val="21"/>
        </w:rPr>
        <w:t>[60]</w:t>
      </w:r>
      <w:r>
        <w:rPr>
          <w:rFonts w:ascii="Calibri" w:hAnsi="Calibri" w:eastAsia="微软雅黑"/>
          <w:b w:val="0"/>
          <w:i w:val="0"/>
          <w:sz w:val="21"/>
        </w:rPr>
        <w:t>）的摘要中完全没有提及特征重要性或类SHAP分析。这意味着现有模型的决策逻辑几乎处于“黑箱”状态。</w:t>
      </w:r>
    </w:p>
    <w:p>
      <w:r>
        <w:rPr>
          <w:rFonts w:ascii="Calibri" w:hAnsi="Calibri" w:eastAsia="微软雅黑"/>
          <w:b w:val="0"/>
          <w:i w:val="0"/>
          <w:sz w:val="21"/>
        </w:rPr>
      </w:r>
      <w:r>
        <w:rPr>
          <w:rFonts w:ascii="Calibri" w:hAnsi="Calibri" w:eastAsia="微软雅黑"/>
          <w:b/>
          <w:i w:val="0"/>
          <w:sz w:val="21"/>
        </w:rPr>
        <w:t>辩论结论</w:t>
      </w:r>
      <w:r>
        <w:rPr>
          <w:rFonts w:ascii="Calibri" w:hAnsi="Calibri" w:eastAsia="微软雅黑"/>
          <w:b w:val="0"/>
          <w:i w:val="0"/>
          <w:sz w:val="21"/>
        </w:rPr>
        <w:t>：数据验证组的交叉分析确认，从引文网络看，可解释性分析方法的论文（</w:t>
      </w:r>
      <w:r>
        <w:rPr>
          <w:rFonts w:ascii="Calibri" w:hAnsi="Calibri" w:eastAsia="微软雅黑"/>
          <w:b/>
          <w:i w:val="0"/>
          <w:color w:val="2980B9"/>
          <w:sz w:val="21"/>
        </w:rPr>
        <w:t>[1]</w:t>
      </w:r>
      <w:r>
        <w:rPr>
          <w:rFonts w:ascii="Calibri" w:hAnsi="Calibri" w:eastAsia="微软雅黑"/>
          <w:b w:val="0"/>
          <w:i w:val="0"/>
          <w:sz w:val="21"/>
        </w:rPr>
        <w:t>、</w:t>
      </w:r>
      <w:r>
        <w:rPr>
          <w:rFonts w:ascii="Calibri" w:hAnsi="Calibri" w:eastAsia="微软雅黑"/>
          <w:b/>
          <w:i w:val="0"/>
          <w:color w:val="2980B9"/>
          <w:sz w:val="21"/>
        </w:rPr>
        <w:t>[9]</w:t>
      </w:r>
      <w:r>
        <w:rPr>
          <w:rFonts w:ascii="Calibri" w:hAnsi="Calibri" w:eastAsia="微软雅黑"/>
          <w:b w:val="0"/>
          <w:i w:val="0"/>
          <w:sz w:val="21"/>
        </w:rPr>
        <w:t>）与能源应用论文（</w:t>
      </w:r>
      <w:r>
        <w:rPr>
          <w:rFonts w:ascii="Calibri" w:hAnsi="Calibri" w:eastAsia="微软雅黑"/>
          <w:b/>
          <w:i w:val="0"/>
          <w:color w:val="2980B9"/>
          <w:sz w:val="21"/>
        </w:rPr>
        <w:t>[54]</w:t>
      </w:r>
      <w:r>
        <w:rPr>
          <w:rFonts w:ascii="Calibri" w:hAnsi="Calibri" w:eastAsia="微软雅黑"/>
          <w:b w:val="0"/>
          <w:i w:val="0"/>
          <w:sz w:val="21"/>
        </w:rPr>
        <w:t>、</w:t>
      </w:r>
      <w:r>
        <w:rPr>
          <w:rFonts w:ascii="Calibri" w:hAnsi="Calibri" w:eastAsia="微软雅黑"/>
          <w:b/>
          <w:i w:val="0"/>
          <w:color w:val="2980B9"/>
          <w:sz w:val="21"/>
        </w:rPr>
        <w:t>[59]</w:t>
      </w:r>
      <w:r>
        <w:rPr>
          <w:rFonts w:ascii="Calibri" w:hAnsi="Calibri" w:eastAsia="微软雅黑"/>
          <w:b w:val="0"/>
          <w:i w:val="0"/>
          <w:sz w:val="21"/>
        </w:rPr>
        <w:t>、</w:t>
      </w:r>
      <w:r>
        <w:rPr>
          <w:rFonts w:ascii="Calibri" w:hAnsi="Calibri" w:eastAsia="微软雅黑"/>
          <w:b/>
          <w:i w:val="0"/>
          <w:color w:val="2980B9"/>
          <w:sz w:val="21"/>
        </w:rPr>
        <w:t>[60]</w:t>
      </w:r>
      <w:r>
        <w:rPr>
          <w:rFonts w:ascii="Calibri" w:hAnsi="Calibri" w:eastAsia="微软雅黑"/>
          <w:b w:val="0"/>
          <w:i w:val="0"/>
          <w:sz w:val="21"/>
        </w:rPr>
        <w:t>）之间存在显著的引用孤岛，说明方法论与场景应用之间的融合尚处于早期。尽管文献检索部门“多源广度派”指出可解释性需求在研究界已成为共识，元数据精查组也确认XAI综述</w:t>
      </w:r>
      <w:r>
        <w:rPr>
          <w:rFonts w:ascii="Calibri" w:hAnsi="Calibri" w:eastAsia="微软雅黑"/>
          <w:b/>
          <w:i w:val="0"/>
          <w:color w:val="2980B9"/>
          <w:sz w:val="21"/>
        </w:rPr>
        <w:t>[1]</w:t>
      </w:r>
      <w:r>
        <w:rPr>
          <w:rFonts w:ascii="Calibri" w:hAnsi="Calibri" w:eastAsia="微软雅黑"/>
          <w:b w:val="0"/>
          <w:i w:val="0"/>
          <w:sz w:val="21"/>
        </w:rPr>
        <w:t>已被广泛引用（9162次），但实证研究中可解释性的实际嵌入比例仍极低。</w:t>
      </w:r>
    </w:p>
    <w:p>
      <w:r>
        <w:rPr>
          <w:rFonts w:ascii="Calibri" w:hAnsi="Calibri" w:eastAsia="微软雅黑"/>
          <w:b w:val="0"/>
          <w:i w:val="0"/>
          <w:sz w:val="21"/>
        </w:rPr>
      </w:r>
      <w:r>
        <w:rPr>
          <w:rFonts w:ascii="Calibri" w:hAnsi="Calibri" w:eastAsia="微软雅黑"/>
          <w:b/>
          <w:i w:val="0"/>
          <w:sz w:val="21"/>
        </w:rPr>
        <w:t>置信度</w:t>
      </w:r>
      <w:r>
        <w:rPr>
          <w:rFonts w:ascii="Calibri" w:hAnsi="Calibri" w:eastAsia="微软雅黑"/>
          <w:b w:val="0"/>
          <w:i w:val="0"/>
          <w:sz w:val="21"/>
        </w:rPr>
        <w:t>：🟢高</w:t>
      </w:r>
    </w:p>
    <w:p>
      <w:r>
        <w:rPr>
          <w:rFonts w:ascii="Calibri" w:hAnsi="Calibri" w:eastAsia="微软雅黑"/>
          <w:b w:val="0"/>
          <w:i w:val="0"/>
          <w:sz w:val="21"/>
        </w:rPr>
      </w:r>
      <w:r>
        <w:rPr>
          <w:rFonts w:ascii="Calibri" w:hAnsi="Calibri" w:eastAsia="微软雅黑"/>
          <w:b/>
          <w:i w:val="0"/>
          <w:sz w:val="21"/>
        </w:rPr>
        <w:t>发现3：模型在分布外场景下的泛化能力存在系统性风险。</w:t>
      </w:r>
      <w:r>
        <w:rPr>
          <w:rFonts w:ascii="Calibri" w:hAnsi="Calibri" w:eastAsia="微软雅黑"/>
          <w:b w:val="0"/>
          <w:i w:val="0"/>
          <w:sz w:val="21"/>
        </w:rPr>
      </w:r>
    </w:p>
    <w:p>
      <w:r>
        <w:rPr>
          <w:rFonts w:ascii="Calibri" w:hAnsi="Calibri" w:eastAsia="微软雅黑"/>
          <w:b w:val="0"/>
          <w:i w:val="0"/>
          <w:sz w:val="21"/>
        </w:rPr>
      </w:r>
      <w:r>
        <w:rPr>
          <w:rFonts w:ascii="Calibri" w:hAnsi="Calibri" w:eastAsia="微软雅黑"/>
          <w:b/>
          <w:i w:val="0"/>
          <w:sz w:val="21"/>
        </w:rPr>
        <w:t>支持证据</w:t>
      </w:r>
      <w:r>
        <w:rPr>
          <w:rFonts w:ascii="Calibri" w:hAnsi="Calibri" w:eastAsia="微软雅黑"/>
          <w:b w:val="0"/>
          <w:i w:val="0"/>
          <w:sz w:val="21"/>
        </w:rPr>
        <w:t>：Willard等人</w:t>
      </w:r>
      <w:r>
        <w:rPr>
          <w:rFonts w:ascii="Calibri" w:hAnsi="Calibri" w:eastAsia="微软雅黑"/>
          <w:b/>
          <w:i w:val="0"/>
          <w:color w:val="2980B9"/>
          <w:sz w:val="21"/>
        </w:rPr>
        <w:t>[17]</w:t>
      </w:r>
      <w:r>
        <w:rPr>
          <w:rFonts w:ascii="Calibri" w:hAnsi="Calibri" w:eastAsia="微软雅黑"/>
          <w:b w:val="0"/>
          <w:i w:val="0"/>
          <w:sz w:val="21"/>
        </w:rPr>
        <w:t>明确论证，将科学知识（物理约束）嵌入机器学习能够提升模型在分布外（OOD）场景下的泛化能力。然而，这种融合目前仍面临物理先验知识与神经网络架构如何精确对齐的方法论挑战。</w:t>
      </w:r>
    </w:p>
    <w:p>
      <w:r>
        <w:rPr>
          <w:rFonts w:ascii="Calibri" w:hAnsi="Calibri" w:eastAsia="微软雅黑"/>
          <w:b w:val="0"/>
          <w:i w:val="0"/>
          <w:sz w:val="21"/>
        </w:rPr>
      </w:r>
      <w:r>
        <w:rPr>
          <w:rFonts w:ascii="Calibri" w:hAnsi="Calibri" w:eastAsia="微软雅黑"/>
          <w:b/>
          <w:i w:val="0"/>
          <w:sz w:val="21"/>
        </w:rPr>
        <w:t>反方质疑</w:t>
      </w:r>
      <w:r>
        <w:rPr>
          <w:rFonts w:ascii="Calibri" w:hAnsi="Calibri" w:eastAsia="微软雅黑"/>
          <w:b w:val="0"/>
          <w:i w:val="0"/>
          <w:sz w:val="21"/>
        </w:rPr>
        <w:t>：交叉验证派基于论文内容分析指出，当前研究普遍缺乏对OOD性能的报告——没有论文在摘要中提及对抗性测试、噪声扰动或时间窗口扰动等稳健性检验。这意味着模型在训练集外的真实场景（如极端气候事件导致的能源需求突变、碳市场价格政策冲击）是否存在崩溃风险，完全未知。</w:t>
      </w:r>
    </w:p>
    <w:p>
      <w:r>
        <w:rPr>
          <w:rFonts w:ascii="Calibri" w:hAnsi="Calibri" w:eastAsia="微软雅黑"/>
          <w:b w:val="0"/>
          <w:i w:val="0"/>
          <w:sz w:val="21"/>
        </w:rPr>
      </w:r>
      <w:r>
        <w:rPr>
          <w:rFonts w:ascii="Calibri" w:hAnsi="Calibri" w:eastAsia="微软雅黑"/>
          <w:b/>
          <w:i w:val="0"/>
          <w:sz w:val="21"/>
        </w:rPr>
        <w:t>辩论结论</w:t>
      </w:r>
      <w:r>
        <w:rPr>
          <w:rFonts w:ascii="Calibri" w:hAnsi="Calibri" w:eastAsia="微软雅黑"/>
          <w:b w:val="0"/>
          <w:i w:val="0"/>
          <w:sz w:val="21"/>
        </w:rPr>
        <w:t>：文献检索组“精准筛选派”指出，在有限的数据集中验证所谓“泛化能力”本身就是一个欠约束问题。特别是，宏经济预测（如碳价）的非平稳性突出，历史规律可能因政策变化而完全失效——这是所有机器学习模型面临的根本性挑战。</w:t>
      </w:r>
    </w:p>
    <w:p>
      <w:r>
        <w:rPr>
          <w:rFonts w:ascii="Calibri" w:hAnsi="Calibri" w:eastAsia="微软雅黑"/>
          <w:b w:val="0"/>
          <w:i w:val="0"/>
          <w:sz w:val="21"/>
        </w:rPr>
      </w:r>
      <w:r>
        <w:rPr>
          <w:rFonts w:ascii="Calibri" w:hAnsi="Calibri" w:eastAsia="微软雅黑"/>
          <w:b/>
          <w:i w:val="0"/>
          <w:sz w:val="21"/>
        </w:rPr>
        <w:t>置信度</w:t>
      </w:r>
      <w:r>
        <w:rPr>
          <w:rFonts w:ascii="Calibri" w:hAnsi="Calibri" w:eastAsia="微软雅黑"/>
          <w:b w:val="0"/>
          <w:i w:val="0"/>
          <w:sz w:val="21"/>
        </w:rPr>
        <w:t>：🟢高</w:t>
      </w:r>
    </w:p>
    <w:p>
      <w:r>
        <w:rPr>
          <w:rFonts w:ascii="Calibri" w:hAnsi="Calibri" w:eastAsia="微软雅黑"/>
          <w:b w:val="0"/>
          <w:i w:val="0"/>
          <w:sz w:val="21"/>
        </w:rPr>
      </w:r>
      <w:r>
        <w:rPr>
          <w:rFonts w:ascii="Calibri" w:hAnsi="Calibri" w:eastAsia="微软雅黑"/>
          <w:b/>
          <w:i w:val="0"/>
          <w:sz w:val="21"/>
        </w:rPr>
        <w:t>发现4：深度学习对样本量的需求与能源经济学典型数据条件存在错配。</w:t>
      </w:r>
      <w:r>
        <w:rPr>
          <w:rFonts w:ascii="Calibri" w:hAnsi="Calibri" w:eastAsia="微软雅黑"/>
          <w:b w:val="0"/>
          <w:i w:val="0"/>
          <w:sz w:val="21"/>
        </w:rPr>
      </w:r>
    </w:p>
    <w:p>
      <w:r>
        <w:rPr>
          <w:rFonts w:ascii="Calibri" w:hAnsi="Calibri" w:eastAsia="微软雅黑"/>
          <w:b w:val="0"/>
          <w:i w:val="0"/>
          <w:sz w:val="21"/>
        </w:rPr>
      </w:r>
      <w:r>
        <w:rPr>
          <w:rFonts w:ascii="Calibri" w:hAnsi="Calibri" w:eastAsia="微软雅黑"/>
          <w:b/>
          <w:i w:val="0"/>
          <w:sz w:val="21"/>
        </w:rPr>
        <w:t>支持证据</w:t>
      </w:r>
      <w:r>
        <w:rPr>
          <w:rFonts w:ascii="Calibri" w:hAnsi="Calibri" w:eastAsia="微软雅黑"/>
          <w:b w:val="0"/>
          <w:i w:val="0"/>
          <w:sz w:val="21"/>
        </w:rPr>
        <w:t>：Sheraz等人</w:t>
      </w:r>
      <w:r>
        <w:rPr>
          <w:rFonts w:ascii="Calibri" w:hAnsi="Calibri" w:eastAsia="微软雅黑"/>
          <w:b/>
          <w:i w:val="0"/>
          <w:color w:val="2980B9"/>
          <w:sz w:val="21"/>
        </w:rPr>
        <w:t>[51]</w:t>
      </w:r>
      <w:r>
        <w:rPr>
          <w:rFonts w:ascii="Calibri" w:hAnsi="Calibri" w:eastAsia="微软雅黑"/>
          <w:b w:val="0"/>
          <w:i w:val="0"/>
          <w:sz w:val="21"/>
        </w:rPr>
        <w:t>的综述指出，LSTM/GRU在负荷预测中的应用超过150篇，但其有效部署通常需要≥500个时间步。François-Lavet等人</w:t>
      </w:r>
      <w:r>
        <w:rPr>
          <w:rFonts w:ascii="Calibri" w:hAnsi="Calibri" w:eastAsia="微软雅黑"/>
          <w:b/>
          <w:i w:val="0"/>
          <w:color w:val="2980B9"/>
          <w:sz w:val="21"/>
        </w:rPr>
        <w:t>[7]</w:t>
      </w:r>
      <w:r>
        <w:rPr>
          <w:rFonts w:ascii="Calibri" w:hAnsi="Calibri" w:eastAsia="微软雅黑"/>
          <w:b w:val="0"/>
          <w:i w:val="0"/>
          <w:sz w:val="21"/>
        </w:rPr>
        <w:t>的深度强化学习框架在能源系统优化中的成功，同样依赖于长时间的模拟数据环境。</w:t>
      </w:r>
    </w:p>
    <w:p>
      <w:r>
        <w:rPr>
          <w:rFonts w:ascii="Calibri" w:hAnsi="Calibri" w:eastAsia="微软雅黑"/>
          <w:b w:val="0"/>
          <w:i w:val="0"/>
          <w:sz w:val="21"/>
        </w:rPr>
      </w:r>
      <w:r>
        <w:rPr>
          <w:rFonts w:ascii="Calibri" w:hAnsi="Calibri" w:eastAsia="微软雅黑"/>
          <w:b/>
          <w:i w:val="0"/>
          <w:sz w:val="21"/>
        </w:rPr>
        <w:t>反方质疑</w:t>
      </w:r>
      <w:r>
        <w:rPr>
          <w:rFonts w:ascii="Calibri" w:hAnsi="Calibri" w:eastAsia="微软雅黑"/>
          <w:b w:val="0"/>
          <w:i w:val="0"/>
          <w:sz w:val="21"/>
        </w:rPr>
        <w:t>：方法审查组的“反例搜寻派”直接提出，当样本量&lt;1000且信噪比低时，深度学习在碳价等复杂时序中的预测精度劣于ARIMA。交叉验证组进一步指出，新兴碳市场（如中国全国碳排放权交易市场）只有3-4年的交易历史，日均交易数据点通常&lt;300个，属于典型的“小样本非平稳”场景。在这一条件下，深度学习模型的过拟合风险急剧上升。</w:t>
      </w:r>
    </w:p>
    <w:p>
      <w:r>
        <w:rPr>
          <w:rFonts w:ascii="Calibri" w:hAnsi="Calibri" w:eastAsia="微软雅黑"/>
          <w:b w:val="0"/>
          <w:i w:val="0"/>
          <w:sz w:val="21"/>
        </w:rPr>
      </w:r>
      <w:r>
        <w:rPr>
          <w:rFonts w:ascii="Calibri" w:hAnsi="Calibri" w:eastAsia="微软雅黑"/>
          <w:b/>
          <w:i w:val="0"/>
          <w:sz w:val="21"/>
        </w:rPr>
        <w:t>辩论结论</w:t>
      </w:r>
      <w:r>
        <w:rPr>
          <w:rFonts w:ascii="Calibri" w:hAnsi="Calibri" w:eastAsia="微软雅黑"/>
          <w:b w:val="0"/>
          <w:i w:val="0"/>
          <w:sz w:val="21"/>
        </w:rPr>
        <w:t>：文献检索组在辩论中明确指出，现有论文分布存在“年代断层”问题——2022年之后关于小样本碳价预测的论文严重不足。元数据精查组则警告，预印本在该领域的占比（9/67=13.4%）高于成熟学科，说明大量研究仍处于未经验证的探索阶段。</w:t>
      </w:r>
    </w:p>
    <w:p>
      <w:r>
        <w:rPr>
          <w:rFonts w:ascii="Calibri" w:hAnsi="Calibri" w:eastAsia="微软雅黑"/>
          <w:b w:val="0"/>
          <w:i w:val="0"/>
          <w:sz w:val="21"/>
        </w:rPr>
      </w:r>
      <w:r>
        <w:rPr>
          <w:rFonts w:ascii="Calibri" w:hAnsi="Calibri" w:eastAsia="微软雅黑"/>
          <w:b/>
          <w:i w:val="0"/>
          <w:sz w:val="21"/>
        </w:rPr>
        <w:t>置信度</w:t>
      </w:r>
      <w:r>
        <w:rPr>
          <w:rFonts w:ascii="Calibri" w:hAnsi="Calibri" w:eastAsia="微软雅黑"/>
          <w:b w:val="0"/>
          <w:i w:val="0"/>
          <w:sz w:val="21"/>
        </w:rPr>
        <w:t>：🟡中</w:t>
      </w:r>
    </w:p>
    <w:p>
      <w:r>
        <w:rPr>
          <w:rFonts w:ascii="Calibri" w:hAnsi="Calibri" w:eastAsia="微软雅黑"/>
          <w:b w:val="0"/>
          <w:i w:val="0"/>
          <w:sz w:val="21"/>
        </w:rPr>
      </w:r>
      <w:r>
        <w:rPr>
          <w:rFonts w:ascii="Calibri" w:hAnsi="Calibri" w:eastAsia="微软雅黑"/>
          <w:b/>
          <w:i w:val="0"/>
          <w:sz w:val="21"/>
        </w:rPr>
        <w:t>发现5：统计检验的普遍缺失严重制约了研究成果的可靠性。</w:t>
      </w:r>
      <w:r>
        <w:rPr>
          <w:rFonts w:ascii="Calibri" w:hAnsi="Calibri" w:eastAsia="微软雅黑"/>
          <w:b w:val="0"/>
          <w:i w:val="0"/>
          <w:sz w:val="21"/>
        </w:rPr>
      </w:r>
    </w:p>
    <w:p>
      <w:r>
        <w:rPr>
          <w:rFonts w:ascii="Calibri" w:hAnsi="Calibri" w:eastAsia="微软雅黑"/>
          <w:b w:val="0"/>
          <w:i w:val="0"/>
          <w:sz w:val="21"/>
        </w:rPr>
      </w:r>
      <w:r>
        <w:rPr>
          <w:rFonts w:ascii="Calibri" w:hAnsi="Calibri" w:eastAsia="微软雅黑"/>
          <w:b/>
          <w:i w:val="0"/>
          <w:sz w:val="21"/>
        </w:rPr>
        <w:t>支持证据</w:t>
      </w:r>
      <w:r>
        <w:rPr>
          <w:rFonts w:ascii="Calibri" w:hAnsi="Calibri" w:eastAsia="微软雅黑"/>
          <w:b w:val="0"/>
          <w:i w:val="0"/>
          <w:sz w:val="21"/>
        </w:rPr>
        <w:t>：Makridakis等人</w:t>
      </w:r>
      <w:r>
        <w:rPr>
          <w:rFonts w:ascii="Calibri" w:hAnsi="Calibri" w:eastAsia="微软雅黑"/>
          <w:b/>
          <w:i w:val="0"/>
          <w:color w:val="2980B9"/>
          <w:sz w:val="21"/>
        </w:rPr>
        <w:t>[18]</w:t>
      </w:r>
      <w:r>
        <w:rPr>
          <w:rFonts w:ascii="Calibri" w:hAnsi="Calibri" w:eastAsia="微软雅黑"/>
          <w:b w:val="0"/>
          <w:i w:val="0"/>
          <w:sz w:val="21"/>
        </w:rPr>
        <w:t>强烈质疑了ML方法比统计方法具有“明显优势”这一断言，认为许多优势未经过严格的统计检验（如DM检验、配对t检验）和效果量分析。</w:t>
      </w:r>
    </w:p>
    <w:p>
      <w:r>
        <w:rPr>
          <w:rFonts w:ascii="Calibri" w:hAnsi="Calibri" w:eastAsia="微软雅黑"/>
          <w:b w:val="0"/>
          <w:i w:val="0"/>
          <w:sz w:val="21"/>
        </w:rPr>
      </w:r>
      <w:r>
        <w:rPr>
          <w:rFonts w:ascii="Calibri" w:hAnsi="Calibri" w:eastAsia="微软雅黑"/>
          <w:b/>
          <w:i w:val="0"/>
          <w:sz w:val="21"/>
        </w:rPr>
        <w:t>反方质疑</w:t>
      </w:r>
      <w:r>
        <w:rPr>
          <w:rFonts w:ascii="Calibri" w:hAnsi="Calibri" w:eastAsia="微软雅黑"/>
          <w:b w:val="0"/>
          <w:i w:val="0"/>
          <w:sz w:val="21"/>
        </w:rPr>
        <w:t>：方法论审查部门的严谨性质疑派在7维度评估中明确指出，现有论文摘要中几乎完全没有提及统计检验。例如，</w:t>
      </w:r>
      <w:r>
        <w:rPr>
          <w:rFonts w:ascii="Calibri" w:hAnsi="Calibri" w:eastAsia="微软雅黑"/>
          <w:b/>
          <w:i w:val="0"/>
          <w:color w:val="2980B9"/>
          <w:sz w:val="21"/>
        </w:rPr>
        <w:t>[51]</w:t>
      </w:r>
      <w:r>
        <w:rPr>
          <w:rFonts w:ascii="Calibri" w:hAnsi="Calibri" w:eastAsia="微软雅黑"/>
          <w:b w:val="0"/>
          <w:i w:val="0"/>
          <w:sz w:val="21"/>
        </w:rPr>
        <w:t>和</w:t>
      </w:r>
      <w:r>
        <w:rPr>
          <w:rFonts w:ascii="Calibri" w:hAnsi="Calibri" w:eastAsia="微软雅黑"/>
          <w:b/>
          <w:i w:val="0"/>
          <w:color w:val="2980B9"/>
          <w:sz w:val="21"/>
        </w:rPr>
        <w:t>[52]</w:t>
      </w:r>
      <w:r>
        <w:rPr>
          <w:rFonts w:ascii="Calibri" w:hAnsi="Calibri" w:eastAsia="微软雅黑"/>
          <w:b w:val="0"/>
          <w:i w:val="0"/>
          <w:sz w:val="21"/>
        </w:rPr>
        <w:t>虽然报告了高精度，但均未披露是否在多个独立数据集或时窗上测试了统计显著性。这意味着报告中的“MAPE降低15%”可能是单次运行的偶然结果。</w:t>
      </w:r>
    </w:p>
    <w:p>
      <w:r>
        <w:rPr>
          <w:rFonts w:ascii="Calibri" w:hAnsi="Calibri" w:eastAsia="微软雅黑"/>
          <w:b w:val="0"/>
          <w:i w:val="0"/>
          <w:sz w:val="21"/>
        </w:rPr>
      </w:r>
      <w:r>
        <w:rPr>
          <w:rFonts w:ascii="Calibri" w:hAnsi="Calibri" w:eastAsia="微软雅黑"/>
          <w:b/>
          <w:i w:val="0"/>
          <w:sz w:val="21"/>
        </w:rPr>
        <w:t>辩论结论</w:t>
      </w:r>
      <w:r>
        <w:rPr>
          <w:rFonts w:ascii="Calibri" w:hAnsi="Calibri" w:eastAsia="微软雅黑"/>
          <w:b w:val="0"/>
          <w:i w:val="0"/>
          <w:sz w:val="21"/>
        </w:rPr>
        <w:t>：所有参与辩论的部门（数据验证组、方法论审查组、交叉验证组）在这一点上达成了最高层级共识：无论采用何种方法（ARIMA、LSTM、Transformer），未来研究都必须报告统计检验结果和置信区间，否则无法作为可靠证据链的一部分。</w:t>
      </w:r>
    </w:p>
    <w:p>
      <w:r>
        <w:rPr>
          <w:rFonts w:ascii="Calibri" w:hAnsi="Calibri" w:eastAsia="微软雅黑"/>
          <w:b w:val="0"/>
          <w:i w:val="0"/>
          <w:sz w:val="21"/>
        </w:rPr>
      </w:r>
      <w:r>
        <w:rPr>
          <w:rFonts w:ascii="Calibri" w:hAnsi="Calibri" w:eastAsia="微软雅黑"/>
          <w:b/>
          <w:i w:val="0"/>
          <w:sz w:val="21"/>
        </w:rPr>
        <w:t>置信度</w:t>
      </w:r>
      <w:r>
        <w:rPr>
          <w:rFonts w:ascii="Calibri" w:hAnsi="Calibri" w:eastAsia="微软雅黑"/>
          <w:b w:val="0"/>
          <w:i w:val="0"/>
          <w:sz w:val="21"/>
        </w:rPr>
        <w:t>：🟢高</w:t>
      </w:r>
    </w:p>
    <w:p>
      <w:pPr>
        <w:pStyle w:val="Heading2"/>
      </w:pPr>
      <w:r>
        <w:rPr>
          <w:rFonts w:ascii="Calibri" w:hAnsi="Calibri" w:eastAsia="微软雅黑"/>
          <w:b/>
          <w:i w:val="0"/>
          <w:color w:val="1A1A2E"/>
          <w:sz w:val="24"/>
        </w:rPr>
        <w:t>四、研究空白与文献计量证据</w:t>
      </w:r>
    </w:p>
    <w:p>
      <w:r>
        <w:rPr>
          <w:rFonts w:ascii="Calibri" w:hAnsi="Calibri" w:eastAsia="微软雅黑"/>
          <w:b w:val="0"/>
          <w:i w:val="0"/>
          <w:sz w:val="21"/>
        </w:rPr>
      </w:r>
      <w:r>
        <w:rPr>
          <w:rFonts w:ascii="Calibri" w:hAnsi="Calibri" w:eastAsia="微软雅黑"/>
          <w:b/>
          <w:i w:val="0"/>
          <w:sz w:val="21"/>
        </w:rPr>
        <w:t>空白1：小样本非平稳环境下碳价预测的方法论体系缺失。</w:t>
      </w:r>
      <w:r>
        <w:rPr>
          <w:rFonts w:ascii="Calibri" w:hAnsi="Calibri" w:eastAsia="微软雅黑"/>
          <w:b w:val="0"/>
          <w:i w:val="0"/>
          <w:sz w:val="21"/>
        </w:rPr>
      </w:r>
    </w:p>
    <w:p>
      <w:r>
        <w:rPr>
          <w:rFonts w:ascii="Calibri" w:hAnsi="Calibri" w:eastAsia="微软雅黑"/>
          <w:b w:val="0"/>
          <w:i w:val="0"/>
          <w:sz w:val="21"/>
        </w:rPr>
      </w:r>
      <w:r>
        <w:rPr>
          <w:rFonts w:ascii="Calibri" w:hAnsi="Calibri" w:eastAsia="微软雅黑"/>
          <w:b/>
          <w:i w:val="0"/>
          <w:sz w:val="21"/>
        </w:rPr>
        <w:t>现状</w:t>
      </w:r>
      <w:r>
        <w:rPr>
          <w:rFonts w:ascii="Calibri" w:hAnsi="Calibri" w:eastAsia="微软雅黑"/>
          <w:b w:val="0"/>
          <w:i w:val="0"/>
          <w:sz w:val="21"/>
        </w:rPr>
        <w:t>：中国全国碳排放权交易市场2021年7月启动，截至本报告撰写时仅有约3年数据。典型指标如“全国碳市场CACEA日收盘价”的时间序列长度不足800个交易日，而且碳价受政策事件（如配额调整、行业扩容公告）的冲击远大于季节性因素。然而，现有论文清单中直接针对碳价预测的研究仅1篇（Nadirgil</w:t>
      </w:r>
      <w:r>
        <w:rPr>
          <w:rFonts w:ascii="Calibri" w:hAnsi="Calibri" w:eastAsia="微软雅黑"/>
          <w:b/>
          <w:i w:val="0"/>
          <w:color w:val="2980B9"/>
          <w:sz w:val="21"/>
        </w:rPr>
        <w:t>[41]</w:t>
      </w:r>
      <w:r>
        <w:rPr>
          <w:rFonts w:ascii="Calibri" w:hAnsi="Calibri" w:eastAsia="微软雅黑"/>
          <w:b w:val="0"/>
          <w:i w:val="0"/>
          <w:sz w:val="21"/>
        </w:rPr>
        <w:t>），且其在2023年发表时引用量仅89次，说明该方向的积累极为薄弱。</w:t>
      </w:r>
    </w:p>
    <w:p>
      <w:r>
        <w:rPr>
          <w:rFonts w:ascii="Calibri" w:hAnsi="Calibri" w:eastAsia="微软雅黑"/>
          <w:b w:val="0"/>
          <w:i w:val="0"/>
          <w:sz w:val="21"/>
        </w:rPr>
      </w:r>
      <w:r>
        <w:rPr>
          <w:rFonts w:ascii="Calibri" w:hAnsi="Calibri" w:eastAsia="微软雅黑"/>
          <w:b/>
          <w:i w:val="0"/>
          <w:sz w:val="21"/>
        </w:rPr>
        <w:t>文献计量佐证</w:t>
      </w:r>
      <w:r>
        <w:rPr>
          <w:rFonts w:ascii="Calibri" w:hAnsi="Calibri" w:eastAsia="微软雅黑"/>
          <w:b w:val="0"/>
          <w:i w:val="0"/>
          <w:sz w:val="21"/>
        </w:rPr>
        <w:t>：在全部67篇论文中，标题或摘要明确出现“碳价预测/交易”的论文仅占比1.5%（1/67）。文献检索部门“精准筛选派”的补充搜索确认，当关键词限定为“(graph neural network OR complex network) AND carbon price”时，正式发表的核心论文数量不超过5篇。</w:t>
      </w:r>
    </w:p>
    <w:p>
      <w:r>
        <w:rPr>
          <w:rFonts w:ascii="Calibri" w:hAnsi="Calibri" w:eastAsia="微软雅黑"/>
          <w:b w:val="0"/>
          <w:i w:val="0"/>
          <w:sz w:val="21"/>
        </w:rPr>
      </w:r>
      <w:r>
        <w:rPr>
          <w:rFonts w:ascii="Calibri" w:hAnsi="Calibri" w:eastAsia="微软雅黑"/>
          <w:b/>
          <w:i w:val="0"/>
          <w:sz w:val="21"/>
        </w:rPr>
        <w:t>为什么没人做</w:t>
      </w:r>
      <w:r>
        <w:rPr>
          <w:rFonts w:ascii="Calibri" w:hAnsi="Calibri" w:eastAsia="微软雅黑"/>
          <w:b w:val="0"/>
          <w:i w:val="0"/>
          <w:sz w:val="21"/>
        </w:rPr>
        <w:t>：主要原因有三——（1）碳市场运行数据时间短、样本量小，不符合深度学习对大数据的内在需求；（2）碳价受政策驱动具有强非平稳性和结构突变，传统时序分解方法效果有限；（3）缺乏标准化的公开数据集，研究可复现性挑战大。</w:t>
      </w:r>
    </w:p>
    <w:p>
      <w:r>
        <w:rPr>
          <w:rFonts w:ascii="Calibri" w:hAnsi="Calibri" w:eastAsia="微软雅黑"/>
          <w:b w:val="0"/>
          <w:i w:val="0"/>
          <w:sz w:val="21"/>
        </w:rPr>
      </w:r>
      <w:r>
        <w:rPr>
          <w:rFonts w:ascii="Calibri" w:hAnsi="Calibri" w:eastAsia="微软雅黑"/>
          <w:b/>
          <w:i w:val="0"/>
          <w:sz w:val="21"/>
        </w:rPr>
        <w:t>价值与可行路径</w:t>
      </w:r>
      <w:r>
        <w:rPr>
          <w:rFonts w:ascii="Calibri" w:hAnsi="Calibri" w:eastAsia="微软雅黑"/>
          <w:b w:val="0"/>
          <w:i w:val="0"/>
          <w:sz w:val="21"/>
        </w:rPr>
        <w:t>：填补该空白将直接服务于碳金融市场监管和碳资产管理。可行路径包括：（1）利用迁移学习将其他成熟市场（如欧盟碳市场EU ETS）的知识迁移到新兴碳市场；（2）采用因果推断方法（如Do-calculus）分离政策冲击与市场内生动力的影响；（3）物理信息神经网络（PINN）可以融合碳市场供需一阶动力学方程。</w:t>
      </w:r>
    </w:p>
    <w:p>
      <w:r>
        <w:rPr>
          <w:rFonts w:ascii="Calibri" w:hAnsi="Calibri" w:eastAsia="微软雅黑"/>
          <w:b w:val="0"/>
          <w:i w:val="0"/>
          <w:sz w:val="21"/>
        </w:rPr>
      </w:r>
      <w:r>
        <w:rPr>
          <w:rFonts w:ascii="Calibri" w:hAnsi="Calibri" w:eastAsia="微软雅黑"/>
          <w:b/>
          <w:i w:val="0"/>
          <w:sz w:val="21"/>
        </w:rPr>
        <w:t>空白2：可解释性分析（XAI）在能源经济学预测中的系统性应用缺失。</w:t>
      </w:r>
      <w:r>
        <w:rPr>
          <w:rFonts w:ascii="Calibri" w:hAnsi="Calibri" w:eastAsia="微软雅黑"/>
          <w:b w:val="0"/>
          <w:i w:val="0"/>
          <w:sz w:val="21"/>
        </w:rPr>
      </w:r>
    </w:p>
    <w:p>
      <w:r>
        <w:rPr>
          <w:rFonts w:ascii="Calibri" w:hAnsi="Calibri" w:eastAsia="微软雅黑"/>
          <w:b w:val="0"/>
          <w:i w:val="0"/>
          <w:sz w:val="21"/>
        </w:rPr>
      </w:r>
      <w:r>
        <w:rPr>
          <w:rFonts w:ascii="Calibri" w:hAnsi="Calibri" w:eastAsia="微软雅黑"/>
          <w:b/>
          <w:i w:val="0"/>
          <w:sz w:val="21"/>
        </w:rPr>
        <w:t>现状</w:t>
      </w:r>
      <w:r>
        <w:rPr>
          <w:rFonts w:ascii="Calibri" w:hAnsi="Calibri" w:eastAsia="微软雅黑"/>
          <w:b w:val="0"/>
          <w:i w:val="0"/>
          <w:sz w:val="21"/>
        </w:rPr>
        <w:t>：尽管Barredo Arrieta等人</w:t>
      </w:r>
      <w:r>
        <w:rPr>
          <w:rFonts w:ascii="Calibri" w:hAnsi="Calibri" w:eastAsia="微软雅黑"/>
          <w:b/>
          <w:i w:val="0"/>
          <w:color w:val="2980B9"/>
          <w:sz w:val="21"/>
        </w:rPr>
        <w:t>[1]</w:t>
      </w:r>
      <w:r>
        <w:rPr>
          <w:rFonts w:ascii="Calibri" w:hAnsi="Calibri" w:eastAsia="微软雅黑"/>
          <w:b w:val="0"/>
          <w:i w:val="0"/>
          <w:sz w:val="21"/>
        </w:rPr>
        <w:t>在2019年发表了被引超过9000次的XAI综述，提供了完整的分类法和技术框架，但在能源经济学预测研究中，SHAP、LIME或注意力机制分析几乎未被采用。当前模型处于“黑箱”状态，决策者无法判断预测的驱动因素。</w:t>
      </w:r>
    </w:p>
    <w:p>
      <w:r>
        <w:rPr>
          <w:rFonts w:ascii="Calibri" w:hAnsi="Calibri" w:eastAsia="微软雅黑"/>
          <w:b w:val="0"/>
          <w:i w:val="0"/>
          <w:sz w:val="21"/>
        </w:rPr>
      </w:r>
      <w:r>
        <w:rPr>
          <w:rFonts w:ascii="Calibri" w:hAnsi="Calibri" w:eastAsia="微软雅黑"/>
          <w:b/>
          <w:i w:val="0"/>
          <w:sz w:val="21"/>
        </w:rPr>
        <w:t>文献计量佐证</w:t>
      </w:r>
      <w:r>
        <w:rPr>
          <w:rFonts w:ascii="Calibri" w:hAnsi="Calibri" w:eastAsia="微软雅黑"/>
          <w:b w:val="0"/>
          <w:i w:val="0"/>
          <w:sz w:val="21"/>
        </w:rPr>
        <w:t>：在67篇论文中，标题或摘要包含“可解释性/解释/XAI”的论文仅2篇（2/67=2.9%）——</w:t>
      </w:r>
      <w:r>
        <w:rPr>
          <w:rFonts w:ascii="Calibri" w:hAnsi="Calibri" w:eastAsia="微软雅黑"/>
          <w:b/>
          <w:i w:val="0"/>
          <w:color w:val="2980B9"/>
          <w:sz w:val="21"/>
        </w:rPr>
        <w:t>[1]</w:t>
      </w:r>
      <w:r>
        <w:rPr>
          <w:rFonts w:ascii="Calibri" w:hAnsi="Calibri" w:eastAsia="微软雅黑"/>
          <w:b w:val="0"/>
          <w:i w:val="0"/>
          <w:sz w:val="21"/>
        </w:rPr>
        <w:t>本身就是方法论综述，另一篇</w:t>
      </w:r>
      <w:r>
        <w:rPr>
          <w:rFonts w:ascii="Calibri" w:hAnsi="Calibri" w:eastAsia="微软雅黑"/>
          <w:b/>
          <w:i w:val="0"/>
          <w:color w:val="2980B9"/>
          <w:sz w:val="21"/>
        </w:rPr>
        <w:t>[9]</w:t>
      </w:r>
      <w:r>
        <w:rPr>
          <w:rFonts w:ascii="Calibri" w:hAnsi="Calibri" w:eastAsia="微软雅黑"/>
          <w:b w:val="0"/>
          <w:i w:val="0"/>
          <w:sz w:val="21"/>
        </w:rPr>
        <w:t>是因果表示学习理论。在直接从事能源预测的论文（如</w:t>
      </w:r>
      <w:r>
        <w:rPr>
          <w:rFonts w:ascii="Calibri" w:hAnsi="Calibri" w:eastAsia="微软雅黑"/>
          <w:b/>
          <w:i w:val="0"/>
          <w:color w:val="2980B9"/>
          <w:sz w:val="21"/>
        </w:rPr>
        <w:t>[51]</w:t>
      </w:r>
      <w:r>
        <w:rPr>
          <w:rFonts w:ascii="Calibri" w:hAnsi="Calibri" w:eastAsia="微软雅黑"/>
          <w:b w:val="0"/>
          <w:i w:val="0"/>
          <w:sz w:val="21"/>
        </w:rPr>
        <w:t>,</w:t>
      </w:r>
      <w:r>
        <w:rPr>
          <w:rFonts w:ascii="Calibri" w:hAnsi="Calibri" w:eastAsia="微软雅黑"/>
          <w:b/>
          <w:i w:val="0"/>
          <w:color w:val="2980B9"/>
          <w:sz w:val="21"/>
        </w:rPr>
        <w:t>[52]</w:t>
      </w:r>
      <w:r>
        <w:rPr>
          <w:rFonts w:ascii="Calibri" w:hAnsi="Calibri" w:eastAsia="微软雅黑"/>
          <w:b w:val="0"/>
          <w:i w:val="0"/>
          <w:sz w:val="21"/>
        </w:rPr>
        <w:t>,</w:t>
      </w:r>
      <w:r>
        <w:rPr>
          <w:rFonts w:ascii="Calibri" w:hAnsi="Calibri" w:eastAsia="微软雅黑"/>
          <w:b/>
          <w:i w:val="0"/>
          <w:color w:val="2980B9"/>
          <w:sz w:val="21"/>
        </w:rPr>
        <w:t>[53]</w:t>
      </w:r>
      <w:r>
        <w:rPr>
          <w:rFonts w:ascii="Calibri" w:hAnsi="Calibri" w:eastAsia="微软雅黑"/>
          <w:b w:val="0"/>
          <w:i w:val="0"/>
          <w:sz w:val="21"/>
        </w:rPr>
        <w:t>,</w:t>
      </w:r>
      <w:r>
        <w:rPr>
          <w:rFonts w:ascii="Calibri" w:hAnsi="Calibri" w:eastAsia="微软雅黑"/>
          <w:b/>
          <w:i w:val="0"/>
          <w:color w:val="2980B9"/>
          <w:sz w:val="21"/>
        </w:rPr>
        <w:t>[54]</w:t>
      </w:r>
      <w:r>
        <w:rPr>
          <w:rFonts w:ascii="Calibri" w:hAnsi="Calibri" w:eastAsia="微软雅黑"/>
          <w:b w:val="0"/>
          <w:i w:val="0"/>
          <w:sz w:val="21"/>
        </w:rPr>
        <w:t>,</w:t>
      </w:r>
      <w:r>
        <w:rPr>
          <w:rFonts w:ascii="Calibri" w:hAnsi="Calibri" w:eastAsia="微软雅黑"/>
          <w:b/>
          <w:i w:val="0"/>
          <w:color w:val="2980B9"/>
          <w:sz w:val="21"/>
        </w:rPr>
        <w:t>[59]</w:t>
      </w:r>
      <w:r>
        <w:rPr>
          <w:rFonts w:ascii="Calibri" w:hAnsi="Calibri" w:eastAsia="微软雅黑"/>
          <w:b w:val="0"/>
          <w:i w:val="0"/>
          <w:sz w:val="21"/>
        </w:rPr>
        <w:t>,</w:t>
      </w:r>
      <w:r>
        <w:rPr>
          <w:rFonts w:ascii="Calibri" w:hAnsi="Calibri" w:eastAsia="微软雅黑"/>
          <w:b/>
          <w:i w:val="0"/>
          <w:color w:val="2980B9"/>
          <w:sz w:val="21"/>
        </w:rPr>
        <w:t>[60]</w:t>
      </w:r>
      <w:r>
        <w:rPr>
          <w:rFonts w:ascii="Calibri" w:hAnsi="Calibri" w:eastAsia="微软雅黑"/>
          <w:b w:val="0"/>
          <w:i w:val="0"/>
          <w:sz w:val="21"/>
        </w:rPr>
        <w:t>）中，没有一篇在摘要层面显式提及可解释性分析。</w:t>
      </w:r>
    </w:p>
    <w:p>
      <w:r>
        <w:rPr>
          <w:rFonts w:ascii="Calibri" w:hAnsi="Calibri" w:eastAsia="微软雅黑"/>
          <w:b w:val="0"/>
          <w:i w:val="0"/>
          <w:sz w:val="21"/>
        </w:rPr>
      </w:r>
      <w:r>
        <w:rPr>
          <w:rFonts w:ascii="Calibri" w:hAnsi="Calibri" w:eastAsia="微软雅黑"/>
          <w:b/>
          <w:i w:val="0"/>
          <w:sz w:val="21"/>
        </w:rPr>
        <w:t>为什么没人做</w:t>
      </w:r>
      <w:r>
        <w:rPr>
          <w:rFonts w:ascii="Calibri" w:hAnsi="Calibri" w:eastAsia="微软雅黑"/>
          <w:b w:val="0"/>
          <w:i w:val="0"/>
          <w:sz w:val="21"/>
        </w:rPr>
        <w:t>：一是“黑箱”模型在学术论文发表中通常能以性能指标获得认可，缺乏外部激励嵌入可解释性；二是在负荷/需求预测场景中，模型输出直接就是预测值，决策者传统上不需要解释；三是XAI方法本身的计算成本（尤其是SHAP的枚举计算）可能成为实际障碍。</w:t>
      </w:r>
    </w:p>
    <w:p>
      <w:r>
        <w:rPr>
          <w:rFonts w:ascii="Calibri" w:hAnsi="Calibri" w:eastAsia="微软雅黑"/>
          <w:b w:val="0"/>
          <w:i w:val="0"/>
          <w:sz w:val="21"/>
        </w:rPr>
      </w:r>
      <w:r>
        <w:rPr>
          <w:rFonts w:ascii="Calibri" w:hAnsi="Calibri" w:eastAsia="微软雅黑"/>
          <w:b/>
          <w:i w:val="0"/>
          <w:sz w:val="21"/>
        </w:rPr>
        <w:t>价值与可行路径</w:t>
      </w:r>
      <w:r>
        <w:rPr>
          <w:rFonts w:ascii="Calibri" w:hAnsi="Calibri" w:eastAsia="微软雅黑"/>
          <w:b w:val="0"/>
          <w:i w:val="0"/>
          <w:sz w:val="21"/>
        </w:rPr>
        <w:t>：在因电价冲击或碳排放成本上升而做出市场干预决策时，可解释性是信任基石。可行路径包括：（1）在论文中强制要求至少使用一种XAI方法（SHAP/LIME）出具特征重要性报告；（2）研发适应时间序列的TAI（Temporal Explainable AI）方法。</w:t>
      </w:r>
    </w:p>
    <w:p>
      <w:r>
        <w:rPr>
          <w:rFonts w:ascii="Calibri" w:hAnsi="Calibri" w:eastAsia="微软雅黑"/>
          <w:b w:val="0"/>
          <w:i w:val="0"/>
          <w:sz w:val="21"/>
        </w:rPr>
      </w:r>
      <w:r>
        <w:rPr>
          <w:rFonts w:ascii="Calibri" w:hAnsi="Calibri" w:eastAsia="微软雅黑"/>
          <w:b/>
          <w:i w:val="0"/>
          <w:sz w:val="21"/>
        </w:rPr>
        <w:t>空白3：跨市场、跨场景的系统性稳健性验证严重不足。</w:t>
      </w:r>
      <w:r>
        <w:rPr>
          <w:rFonts w:ascii="Calibri" w:hAnsi="Calibri" w:eastAsia="微软雅黑"/>
          <w:b w:val="0"/>
          <w:i w:val="0"/>
          <w:sz w:val="21"/>
        </w:rPr>
      </w:r>
    </w:p>
    <w:p>
      <w:r>
        <w:rPr>
          <w:rFonts w:ascii="Calibri" w:hAnsi="Calibri" w:eastAsia="微软雅黑"/>
          <w:b w:val="0"/>
          <w:i w:val="0"/>
          <w:sz w:val="21"/>
        </w:rPr>
      </w:r>
      <w:r>
        <w:rPr>
          <w:rFonts w:ascii="Calibri" w:hAnsi="Calibri" w:eastAsia="微软雅黑"/>
          <w:b/>
          <w:i w:val="0"/>
          <w:sz w:val="21"/>
        </w:rPr>
        <w:t>现状</w:t>
      </w:r>
      <w:r>
        <w:rPr>
          <w:rFonts w:ascii="Calibri" w:hAnsi="Calibri" w:eastAsia="微软雅黑"/>
          <w:b w:val="0"/>
          <w:i w:val="0"/>
          <w:sz w:val="21"/>
        </w:rPr>
        <w:t>：现有研究大多局限于单一市场或地理场景。例如，</w:t>
      </w:r>
      <w:r>
        <w:rPr>
          <w:rFonts w:ascii="Calibri" w:hAnsi="Calibri" w:eastAsia="微软雅黑"/>
          <w:b/>
          <w:i w:val="0"/>
          <w:color w:val="2980B9"/>
          <w:sz w:val="21"/>
        </w:rPr>
        <w:t>[59]</w:t>
      </w:r>
      <w:r>
        <w:rPr>
          <w:rFonts w:ascii="Calibri" w:hAnsi="Calibri" w:eastAsia="微软雅黑"/>
          <w:b w:val="0"/>
          <w:i w:val="0"/>
          <w:sz w:val="21"/>
        </w:rPr>
        <w:t>使用爱尔兰数据集，</w:t>
      </w:r>
      <w:r>
        <w:rPr>
          <w:rFonts w:ascii="Calibri" w:hAnsi="Calibri" w:eastAsia="微软雅黑"/>
          <w:b/>
          <w:i w:val="0"/>
          <w:color w:val="2980B9"/>
          <w:sz w:val="21"/>
        </w:rPr>
        <w:t>[54]</w:t>
      </w:r>
      <w:r>
        <w:rPr>
          <w:rFonts w:ascii="Calibri" w:hAnsi="Calibri" w:eastAsia="微软雅黑"/>
          <w:b w:val="0"/>
          <w:i w:val="0"/>
          <w:sz w:val="21"/>
        </w:rPr>
        <w:t>使用印度数据集，</w:t>
      </w:r>
      <w:r>
        <w:rPr>
          <w:rFonts w:ascii="Calibri" w:hAnsi="Calibri" w:eastAsia="微软雅黑"/>
          <w:b/>
          <w:i w:val="0"/>
          <w:color w:val="2980B9"/>
          <w:sz w:val="21"/>
        </w:rPr>
        <w:t>[52]</w:t>
      </w:r>
      <w:r>
        <w:rPr>
          <w:rFonts w:ascii="Calibri" w:hAnsi="Calibri" w:eastAsia="微软雅黑"/>
          <w:b w:val="0"/>
          <w:i w:val="0"/>
          <w:sz w:val="21"/>
        </w:rPr>
        <w:t>使用韩国建筑数据。缺乏对同一模型在不同市场、不同气候带、不同经济阶段下的稳健性检验。</w:t>
      </w:r>
    </w:p>
    <w:p>
      <w:r>
        <w:rPr>
          <w:rFonts w:ascii="Calibri" w:hAnsi="Calibri" w:eastAsia="微软雅黑"/>
          <w:b w:val="0"/>
          <w:i w:val="0"/>
          <w:sz w:val="21"/>
        </w:rPr>
      </w:r>
      <w:r>
        <w:rPr>
          <w:rFonts w:ascii="Calibri" w:hAnsi="Calibri" w:eastAsia="微软雅黑"/>
          <w:b/>
          <w:i w:val="0"/>
          <w:sz w:val="21"/>
        </w:rPr>
        <w:t>文献计量佐证</w:t>
      </w:r>
      <w:r>
        <w:rPr>
          <w:rFonts w:ascii="Calibri" w:hAnsi="Calibri" w:eastAsia="微软雅黑"/>
          <w:b w:val="0"/>
          <w:i w:val="0"/>
          <w:sz w:val="21"/>
        </w:rPr>
        <w:t>：在负荷预测论文（如</w:t>
      </w:r>
      <w:r>
        <w:rPr>
          <w:rFonts w:ascii="Calibri" w:hAnsi="Calibri" w:eastAsia="微软雅黑"/>
          <w:b/>
          <w:i w:val="0"/>
          <w:color w:val="2980B9"/>
          <w:sz w:val="21"/>
        </w:rPr>
        <w:t>[51]</w:t>
      </w:r>
      <w:r>
        <w:rPr>
          <w:rFonts w:ascii="Calibri" w:hAnsi="Calibri" w:eastAsia="微软雅黑"/>
          <w:b w:val="0"/>
          <w:i w:val="0"/>
          <w:sz w:val="21"/>
        </w:rPr>
        <w:t>,</w:t>
      </w:r>
      <w:r>
        <w:rPr>
          <w:rFonts w:ascii="Calibri" w:hAnsi="Calibri" w:eastAsia="微软雅黑"/>
          <w:b/>
          <w:i w:val="0"/>
          <w:color w:val="2980B9"/>
          <w:sz w:val="21"/>
        </w:rPr>
        <w:t>[54]</w:t>
      </w:r>
      <w:r>
        <w:rPr>
          <w:rFonts w:ascii="Calibri" w:hAnsi="Calibri" w:eastAsia="微软雅黑"/>
          <w:b w:val="0"/>
          <w:i w:val="0"/>
          <w:sz w:val="21"/>
        </w:rPr>
        <w:t>,</w:t>
      </w:r>
      <w:r>
        <w:rPr>
          <w:rFonts w:ascii="Calibri" w:hAnsi="Calibri" w:eastAsia="微软雅黑"/>
          <w:b/>
          <w:i w:val="0"/>
          <w:color w:val="2980B9"/>
          <w:sz w:val="21"/>
        </w:rPr>
        <w:t>[59]</w:t>
      </w:r>
      <w:r>
        <w:rPr>
          <w:rFonts w:ascii="Calibri" w:hAnsi="Calibri" w:eastAsia="微软雅黑"/>
          <w:b w:val="0"/>
          <w:i w:val="0"/>
          <w:sz w:val="21"/>
        </w:rPr>
        <w:t>,</w:t>
      </w:r>
      <w:r>
        <w:rPr>
          <w:rFonts w:ascii="Calibri" w:hAnsi="Calibri" w:eastAsia="微软雅黑"/>
          <w:b/>
          <w:i w:val="0"/>
          <w:color w:val="2980B9"/>
          <w:sz w:val="21"/>
        </w:rPr>
        <w:t>[60]</w:t>
      </w:r>
      <w:r>
        <w:rPr>
          <w:rFonts w:ascii="Calibri" w:hAnsi="Calibri" w:eastAsia="微软雅黑"/>
          <w:b w:val="0"/>
          <w:i w:val="0"/>
          <w:sz w:val="21"/>
        </w:rPr>
        <w:t>,</w:t>
      </w:r>
      <w:r>
        <w:rPr>
          <w:rFonts w:ascii="Calibri" w:hAnsi="Calibri" w:eastAsia="微软雅黑"/>
          <w:b/>
          <w:i w:val="0"/>
          <w:color w:val="2980B9"/>
          <w:sz w:val="21"/>
        </w:rPr>
        <w:t>[66]</w:t>
      </w:r>
      <w:r>
        <w:rPr>
          <w:rFonts w:ascii="Calibri" w:hAnsi="Calibri" w:eastAsia="微软雅黑"/>
          <w:b w:val="0"/>
          <w:i w:val="0"/>
          <w:sz w:val="21"/>
        </w:rPr>
        <w:t>）中，仅4篇在摘要中提及使用了两个以上数据集或跨区域验证（4/22=18.2%）。Khalil等人</w:t>
      </w:r>
      <w:r>
        <w:rPr>
          <w:rFonts w:ascii="Calibri" w:hAnsi="Calibri" w:eastAsia="微软雅黑"/>
          <w:b/>
          <w:i w:val="0"/>
          <w:color w:val="2980B9"/>
          <w:sz w:val="21"/>
        </w:rPr>
        <w:t>[63]</w:t>
      </w:r>
      <w:r>
        <w:rPr>
          <w:rFonts w:ascii="Calibri" w:hAnsi="Calibri" w:eastAsia="微软雅黑"/>
          <w:b w:val="0"/>
          <w:i w:val="0"/>
          <w:sz w:val="21"/>
        </w:rPr>
        <w:t>在2022年的一项研究中使用了三种国家数据，这已是该群体中最全面的案例。</w:t>
      </w:r>
    </w:p>
    <w:p>
      <w:r>
        <w:rPr>
          <w:rFonts w:ascii="Calibri" w:hAnsi="Calibri" w:eastAsia="微软雅黑"/>
          <w:b w:val="0"/>
          <w:i w:val="0"/>
          <w:sz w:val="21"/>
        </w:rPr>
      </w:r>
      <w:r>
        <w:rPr>
          <w:rFonts w:ascii="Calibri" w:hAnsi="Calibri" w:eastAsia="微软雅黑"/>
          <w:b/>
          <w:i w:val="0"/>
          <w:sz w:val="21"/>
        </w:rPr>
        <w:t>为什么没人做</w:t>
      </w:r>
      <w:r>
        <w:rPr>
          <w:rFonts w:ascii="Calibri" w:hAnsi="Calibri" w:eastAsia="微软雅黑"/>
          <w:b w:val="0"/>
          <w:i w:val="0"/>
          <w:sz w:val="21"/>
        </w:rPr>
        <w:t>：一是跨市场数据获取成本高，不同国家/供应商的数据格式和字段定义不一致；二是模型若因地区差异调整大量超参数，论文发现难以归因于模型结构本身；三是方法论审查组“严谨性质疑派”所指出的——缺少Diebold-Mariano等统计检验，研究者激励不足。</w:t>
      </w:r>
    </w:p>
    <w:p>
      <w:r>
        <w:rPr>
          <w:rFonts w:ascii="Calibri" w:hAnsi="Calibri" w:eastAsia="微软雅黑"/>
          <w:b w:val="0"/>
          <w:i w:val="0"/>
          <w:sz w:val="21"/>
        </w:rPr>
      </w:r>
      <w:r>
        <w:rPr>
          <w:rFonts w:ascii="Calibri" w:hAnsi="Calibri" w:eastAsia="微软雅黑"/>
          <w:b/>
          <w:i w:val="0"/>
          <w:sz w:val="21"/>
        </w:rPr>
        <w:t>价值与可行路径</w:t>
      </w:r>
      <w:r>
        <w:rPr>
          <w:rFonts w:ascii="Calibri" w:hAnsi="Calibri" w:eastAsia="微软雅黑"/>
          <w:b w:val="0"/>
          <w:i w:val="0"/>
          <w:sz w:val="21"/>
        </w:rPr>
        <w:t>：只有经过跨市场验证的模型才有实际部署价值。可行路径包括：（1）推动建立开放的行业标准数据集（类似计算机视觉领域的ImageNet但面向能源领域）；（2）分析“迁移衰减”——不同市场之间存在迁移学习性能衰减的量化规律。</w:t>
      </w:r>
    </w:p>
    <w:p>
      <w:r>
        <w:rPr>
          <w:rFonts w:ascii="Calibri" w:hAnsi="Calibri" w:eastAsia="微软雅黑"/>
          <w:b w:val="0"/>
          <w:i w:val="0"/>
          <w:sz w:val="21"/>
        </w:rPr>
      </w:r>
      <w:r>
        <w:rPr>
          <w:rFonts w:ascii="Calibri" w:hAnsi="Calibri" w:eastAsia="微软雅黑"/>
          <w:b/>
          <w:i w:val="0"/>
          <w:sz w:val="21"/>
        </w:rPr>
        <w:t>空白4：因果推断方法在能源经济学中的应用严重不足。</w:t>
      </w:r>
      <w:r>
        <w:rPr>
          <w:rFonts w:ascii="Calibri" w:hAnsi="Calibri" w:eastAsia="微软雅黑"/>
          <w:b w:val="0"/>
          <w:i w:val="0"/>
          <w:sz w:val="21"/>
        </w:rPr>
      </w:r>
    </w:p>
    <w:p>
      <w:r>
        <w:rPr>
          <w:rFonts w:ascii="Calibri" w:hAnsi="Calibri" w:eastAsia="微软雅黑"/>
          <w:b w:val="0"/>
          <w:i w:val="0"/>
          <w:sz w:val="21"/>
        </w:rPr>
      </w:r>
      <w:r>
        <w:rPr>
          <w:rFonts w:ascii="Calibri" w:hAnsi="Calibri" w:eastAsia="微软雅黑"/>
          <w:b/>
          <w:i w:val="0"/>
          <w:sz w:val="21"/>
        </w:rPr>
        <w:t>现状</w:t>
      </w:r>
      <w:r>
        <w:rPr>
          <w:rFonts w:ascii="Calibri" w:hAnsi="Calibri" w:eastAsia="微软雅黑"/>
          <w:b w:val="0"/>
          <w:i w:val="0"/>
          <w:sz w:val="21"/>
        </w:rPr>
        <w:t>：Schölkopf等人</w:t>
      </w:r>
      <w:r>
        <w:rPr>
          <w:rFonts w:ascii="Calibri" w:hAnsi="Calibri" w:eastAsia="微软雅黑"/>
          <w:b/>
          <w:i w:val="0"/>
          <w:color w:val="2980B9"/>
          <w:sz w:val="21"/>
        </w:rPr>
        <w:t>[9]</w:t>
      </w:r>
      <w:r>
        <w:rPr>
          <w:rFonts w:ascii="Calibri" w:hAnsi="Calibri" w:eastAsia="微软雅黑"/>
          <w:b w:val="0"/>
          <w:i w:val="0"/>
          <w:sz w:val="21"/>
        </w:rPr>
        <w:t>在2021年定义了因果表示学习的理论框架，但其在能源经济学中的应用几乎空白。现有模型主要从事“预测”任务，而非“因果归因”或“政策评估”，无法回答“碳税上涨1欧元/吨将如何影响下季度工业用电负荷”这样的反事实问题。</w:t>
      </w:r>
    </w:p>
    <w:p>
      <w:r>
        <w:rPr>
          <w:rFonts w:ascii="Calibri" w:hAnsi="Calibri" w:eastAsia="微软雅黑"/>
          <w:b w:val="0"/>
          <w:i w:val="0"/>
          <w:sz w:val="21"/>
        </w:rPr>
      </w:r>
      <w:r>
        <w:rPr>
          <w:rFonts w:ascii="Calibri" w:hAnsi="Calibri" w:eastAsia="微软雅黑"/>
          <w:b/>
          <w:i w:val="0"/>
          <w:sz w:val="21"/>
        </w:rPr>
        <w:t>文献计量佐证</w:t>
      </w:r>
      <w:r>
        <w:rPr>
          <w:rFonts w:ascii="Calibri" w:hAnsi="Calibri" w:eastAsia="微软雅黑"/>
          <w:b w:val="0"/>
          <w:i w:val="0"/>
          <w:sz w:val="21"/>
        </w:rPr>
        <w:t>：直接涉及因果推断（Causal Inference/Causal Reasoning/Causal Discovery）的论文仅2篇（</w:t>
      </w:r>
      <w:r>
        <w:rPr>
          <w:rFonts w:ascii="Calibri" w:hAnsi="Calibri" w:eastAsia="微软雅黑"/>
          <w:b/>
          <w:i w:val="0"/>
          <w:color w:val="2980B9"/>
          <w:sz w:val="21"/>
        </w:rPr>
        <w:t>[9]</w:t>
      </w:r>
      <w:r>
        <w:rPr>
          <w:rFonts w:ascii="Calibri" w:hAnsi="Calibri" w:eastAsia="微软雅黑"/>
          <w:b w:val="0"/>
          <w:i w:val="0"/>
          <w:sz w:val="21"/>
        </w:rPr>
        <w:t>,</w:t>
      </w:r>
      <w:r>
        <w:rPr>
          <w:rFonts w:ascii="Calibri" w:hAnsi="Calibri" w:eastAsia="微软雅黑"/>
          <w:b/>
          <w:i w:val="0"/>
          <w:color w:val="2980B9"/>
          <w:sz w:val="21"/>
        </w:rPr>
        <w:t>[17]</w:t>
      </w:r>
      <w:r>
        <w:rPr>
          <w:rFonts w:ascii="Calibri" w:hAnsi="Calibri" w:eastAsia="微软雅黑"/>
          <w:b w:val="0"/>
          <w:i w:val="0"/>
          <w:sz w:val="21"/>
        </w:rPr>
        <w:t>），且均为方法论理论框架，没有一篇将因果推断实际应用于能源价格或负荷预测。</w:t>
      </w:r>
    </w:p>
    <w:p>
      <w:r>
        <w:rPr>
          <w:rFonts w:ascii="Calibri" w:hAnsi="Calibri" w:eastAsia="微软雅黑"/>
          <w:b w:val="0"/>
          <w:i w:val="0"/>
          <w:sz w:val="21"/>
        </w:rPr>
      </w:r>
      <w:r>
        <w:rPr>
          <w:rFonts w:ascii="Calibri" w:hAnsi="Calibri" w:eastAsia="微软雅黑"/>
          <w:b/>
          <w:i w:val="0"/>
          <w:sz w:val="21"/>
        </w:rPr>
        <w:t>为什么没人做</w:t>
      </w:r>
      <w:r>
        <w:rPr>
          <w:rFonts w:ascii="Calibri" w:hAnsi="Calibri" w:eastAsia="微软雅黑"/>
          <w:b w:val="0"/>
          <w:i w:val="0"/>
          <w:sz w:val="21"/>
        </w:rPr>
        <w:t>：因果推断需要反事实数据或干预实验，而能源经济学——特别是碳市场和电力市场——几乎没有受控实验的应用空间。此外，结构因果模型在非平稳时序下的假设条件难以满足，加上数据量不足，因果发现结果不稳定。</w:t>
      </w:r>
    </w:p>
    <w:p>
      <w:r>
        <w:rPr>
          <w:rFonts w:ascii="Calibri" w:hAnsi="Calibri" w:eastAsia="微软雅黑"/>
          <w:b w:val="0"/>
          <w:i w:val="0"/>
          <w:sz w:val="21"/>
        </w:rPr>
      </w:r>
      <w:r>
        <w:rPr>
          <w:rFonts w:ascii="Calibri" w:hAnsi="Calibri" w:eastAsia="微软雅黑"/>
          <w:b/>
          <w:i w:val="0"/>
          <w:sz w:val="21"/>
        </w:rPr>
        <w:t>价值与可行路径</w:t>
      </w:r>
      <w:r>
        <w:rPr>
          <w:rFonts w:ascii="Calibri" w:hAnsi="Calibri" w:eastAsia="微软雅黑"/>
          <w:b w:val="0"/>
          <w:i w:val="0"/>
          <w:sz w:val="21"/>
        </w:rPr>
        <w:t>：因果推断将是下一代能源经济模型的基石——它回答了“如果-那么”的政策问题而不仅仅是“是什么”的预测问题。可行路径包括：（1）使用Double/Debiased ML方法在准实验情景下估计政策因果效应；（2）利用图神经网络学习市场多变量因果关系结构。</w:t>
      </w:r>
    </w:p>
    <w:p>
      <w:r>
        <w:rPr>
          <w:rFonts w:ascii="Calibri" w:hAnsi="Calibri" w:eastAsia="微软雅黑"/>
          <w:b w:val="0"/>
          <w:i w:val="0"/>
          <w:sz w:val="21"/>
        </w:rPr>
      </w:r>
      <w:r>
        <w:rPr>
          <w:rFonts w:ascii="Calibri" w:hAnsi="Calibri" w:eastAsia="微软雅黑"/>
          <w:b/>
          <w:i w:val="0"/>
          <w:sz w:val="21"/>
        </w:rPr>
        <w:t>空白5：Transformers在能源经济学时序预测中的系统性评估与适用边界研究缺失。</w:t>
      </w:r>
      <w:r>
        <w:rPr>
          <w:rFonts w:ascii="Calibri" w:hAnsi="Calibri" w:eastAsia="微软雅黑"/>
          <w:b w:val="0"/>
          <w:i w:val="0"/>
          <w:sz w:val="21"/>
        </w:rPr>
      </w:r>
    </w:p>
    <w:p>
      <w:r>
        <w:rPr>
          <w:rFonts w:ascii="Calibri" w:hAnsi="Calibri" w:eastAsia="微软雅黑"/>
          <w:b w:val="0"/>
          <w:i w:val="0"/>
          <w:sz w:val="21"/>
        </w:rPr>
      </w:r>
      <w:r>
        <w:rPr>
          <w:rFonts w:ascii="Calibri" w:hAnsi="Calibri" w:eastAsia="微软雅黑"/>
          <w:b/>
          <w:i w:val="0"/>
          <w:sz w:val="21"/>
        </w:rPr>
        <w:t>现状</w:t>
      </w:r>
      <w:r>
        <w:rPr>
          <w:rFonts w:ascii="Calibri" w:hAnsi="Calibri" w:eastAsia="微软雅黑"/>
          <w:b w:val="0"/>
          <w:i w:val="0"/>
          <w:sz w:val="21"/>
        </w:rPr>
        <w:t>：尽管Transformer在自然语言处理和多模态学习中取得革命性成功，其在能源经济学时序预测中的有效性验证极为薄弱。</w:t>
      </w:r>
    </w:p>
    <w:p>
      <w:r>
        <w:rPr>
          <w:rFonts w:ascii="Calibri" w:hAnsi="Calibri" w:eastAsia="微软雅黑"/>
          <w:b w:val="0"/>
          <w:i w:val="0"/>
          <w:sz w:val="21"/>
        </w:rPr>
      </w:r>
      <w:r>
        <w:rPr>
          <w:rFonts w:ascii="Calibri" w:hAnsi="Calibri" w:eastAsia="微软雅黑"/>
          <w:b/>
          <w:i w:val="0"/>
          <w:sz w:val="21"/>
        </w:rPr>
        <w:t>文献计量佐证</w:t>
      </w:r>
      <w:r>
        <w:rPr>
          <w:rFonts w:ascii="Calibri" w:hAnsi="Calibri" w:eastAsia="微软雅黑"/>
          <w:b w:val="0"/>
          <w:i w:val="0"/>
          <w:sz w:val="21"/>
        </w:rPr>
        <w:t>：标题含“Transformers/Attention”的论文中有3篇（</w:t>
      </w:r>
      <w:r>
        <w:rPr>
          <w:rFonts w:ascii="Calibri" w:hAnsi="Calibri" w:eastAsia="微软雅黑"/>
          <w:b/>
          <w:i w:val="0"/>
          <w:color w:val="2980B9"/>
          <w:sz w:val="21"/>
        </w:rPr>
        <w:t>[51]</w:t>
      </w:r>
      <w:r>
        <w:rPr>
          <w:rFonts w:ascii="Calibri" w:hAnsi="Calibri" w:eastAsia="微软雅黑"/>
          <w:b w:val="0"/>
          <w:i w:val="0"/>
          <w:sz w:val="21"/>
        </w:rPr>
        <w:t>,</w:t>
      </w:r>
      <w:r>
        <w:rPr>
          <w:rFonts w:ascii="Calibri" w:hAnsi="Calibri" w:eastAsia="微软雅黑"/>
          <w:b/>
          <w:i w:val="0"/>
          <w:color w:val="2980B9"/>
          <w:sz w:val="21"/>
        </w:rPr>
        <w:t>[61]</w:t>
      </w:r>
      <w:r>
        <w:rPr>
          <w:rFonts w:ascii="Calibri" w:hAnsi="Calibri" w:eastAsia="微软雅黑"/>
          <w:b w:val="0"/>
          <w:i w:val="0"/>
          <w:sz w:val="21"/>
        </w:rPr>
        <w:t>,</w:t>
      </w:r>
      <w:r>
        <w:rPr>
          <w:rFonts w:ascii="Calibri" w:hAnsi="Calibri" w:eastAsia="微软雅黑"/>
          <w:b/>
          <w:i w:val="0"/>
          <w:color w:val="2980B9"/>
          <w:sz w:val="21"/>
        </w:rPr>
        <w:t>[66]</w:t>
      </w:r>
      <w:r>
        <w:rPr>
          <w:rFonts w:ascii="Calibri" w:hAnsi="Calibri" w:eastAsia="微软雅黑"/>
          <w:b w:val="0"/>
          <w:i w:val="0"/>
          <w:sz w:val="21"/>
        </w:rPr>
        <w:t>），但其中</w:t>
      </w:r>
      <w:r>
        <w:rPr>
          <w:rFonts w:ascii="Calibri" w:hAnsi="Calibri" w:eastAsia="微软雅黑"/>
          <w:b/>
          <w:i w:val="0"/>
          <w:color w:val="2980B9"/>
          <w:sz w:val="21"/>
        </w:rPr>
        <w:t>[51]</w:t>
      </w:r>
      <w:r>
        <w:rPr>
          <w:rFonts w:ascii="Calibri" w:hAnsi="Calibri" w:eastAsia="微软雅黑"/>
          <w:b w:val="0"/>
          <w:i w:val="0"/>
          <w:sz w:val="21"/>
        </w:rPr>
        <w:t>和</w:t>
      </w:r>
      <w:r>
        <w:rPr>
          <w:rFonts w:ascii="Calibri" w:hAnsi="Calibri" w:eastAsia="微软雅黑"/>
          <w:b/>
          <w:i w:val="0"/>
          <w:color w:val="2980B9"/>
          <w:sz w:val="21"/>
        </w:rPr>
        <w:t>[61]</w:t>
      </w:r>
      <w:r>
        <w:rPr>
          <w:rFonts w:ascii="Calibri" w:hAnsi="Calibri" w:eastAsia="微软雅黑"/>
          <w:b w:val="0"/>
          <w:i w:val="0"/>
          <w:sz w:val="21"/>
        </w:rPr>
        <w:t>为综述，</w:t>
      </w:r>
      <w:r>
        <w:rPr>
          <w:rFonts w:ascii="Calibri" w:hAnsi="Calibri" w:eastAsia="微软雅黑"/>
          <w:b/>
          <w:i w:val="0"/>
          <w:color w:val="2980B9"/>
          <w:sz w:val="21"/>
        </w:rPr>
        <w:t>[66]</w:t>
      </w:r>
      <w:r>
        <w:rPr>
          <w:rFonts w:ascii="Calibri" w:hAnsi="Calibri" w:eastAsia="微软雅黑"/>
          <w:b w:val="0"/>
          <w:i w:val="0"/>
          <w:sz w:val="21"/>
        </w:rPr>
        <w:t>为微电网状态评估综述，均没有实证报告Transformer在能源负荷或碳价预测上的具体性能数据。Wazirali等人</w:t>
      </w:r>
      <w:r>
        <w:rPr>
          <w:rFonts w:ascii="Calibri" w:hAnsi="Calibri" w:eastAsia="微软雅黑"/>
          <w:b/>
          <w:i w:val="0"/>
          <w:color w:val="2980B9"/>
          <w:sz w:val="21"/>
        </w:rPr>
        <w:t>[66]</w:t>
      </w:r>
      <w:r>
        <w:rPr>
          <w:rFonts w:ascii="Calibri" w:hAnsi="Calibri" w:eastAsia="微软雅黑"/>
          <w:b w:val="0"/>
          <w:i w:val="0"/>
          <w:sz w:val="21"/>
        </w:rPr>
        <w:t>在微电网综述中直接指出Transformer的应用仍处于“早期验证阶段”——尚无法给出量化的成功案例。</w:t>
      </w:r>
    </w:p>
    <w:p>
      <w:r>
        <w:rPr>
          <w:rFonts w:ascii="Calibri" w:hAnsi="Calibri" w:eastAsia="微软雅黑"/>
          <w:b w:val="0"/>
          <w:i w:val="0"/>
          <w:sz w:val="21"/>
        </w:rPr>
      </w:r>
      <w:r>
        <w:rPr>
          <w:rFonts w:ascii="Calibri" w:hAnsi="Calibri" w:eastAsia="微软雅黑"/>
          <w:b/>
          <w:i w:val="0"/>
          <w:sz w:val="21"/>
        </w:rPr>
        <w:t>为什么没人做</w:t>
      </w:r>
      <w:r>
        <w:rPr>
          <w:rFonts w:ascii="Calibri" w:hAnsi="Calibri" w:eastAsia="微软雅黑"/>
          <w:b w:val="0"/>
          <w:i w:val="0"/>
          <w:sz w:val="21"/>
        </w:rPr>
        <w:t>：一是Transformer在中小规模时序数据上存在严重的过拟合风险以及O(n²)时间复杂度的计算资源消耗限制了实验规模；二是该领域的传统主力（LSTM）在已有任务上已建立充分基准，研究者缺乏动机投入成本转向Transformer。</w:t>
      </w:r>
    </w:p>
    <w:p>
      <w:r>
        <w:rPr>
          <w:rFonts w:ascii="Calibri" w:hAnsi="Calibri" w:eastAsia="微软雅黑"/>
          <w:b w:val="0"/>
          <w:i w:val="0"/>
          <w:sz w:val="21"/>
        </w:rPr>
      </w:r>
      <w:r>
        <w:rPr>
          <w:rFonts w:ascii="Calibri" w:hAnsi="Calibri" w:eastAsia="微软雅黑"/>
          <w:b/>
          <w:i w:val="0"/>
          <w:sz w:val="21"/>
        </w:rPr>
        <w:t>价值与可行路径</w:t>
      </w:r>
      <w:r>
        <w:rPr>
          <w:rFonts w:ascii="Calibri" w:hAnsi="Calibri" w:eastAsia="微软雅黑"/>
          <w:b w:val="0"/>
          <w:i w:val="0"/>
          <w:sz w:val="21"/>
        </w:rPr>
        <w:t>：探索Transformers在能源经济学中的应用边界——尤其是多频嵌入和跨市场全局注意力机制——可能对价格预测和风险管理的范式带来突破性影响。可行路径包括：（1）在充分大样本（≥10万时间步）上比较Informer、Autoformer等轻量变体与LSTM的公平性能；（2）研发“能源专用Token嵌入”，将气候、政策、交易量等多源信息整合为统一输入。</w:t>
      </w:r>
    </w:p>
    <w:p>
      <w:pPr>
        <w:pStyle w:val="Heading2"/>
      </w:pPr>
      <w:r>
        <w:rPr>
          <w:rFonts w:ascii="Calibri" w:hAnsi="Calibri" w:eastAsia="微软雅黑"/>
          <w:b/>
          <w:i w:val="0"/>
          <w:color w:val="1A1A2E"/>
          <w:sz w:val="24"/>
        </w:rPr>
        <w:t>五、参考文献</w:t>
      </w:r>
    </w:p>
    <w:p>
      <w:pPr>
        <w:pStyle w:val="Heading3"/>
      </w:pPr>
      <w:r>
        <w:rPr>
          <w:rFonts w:ascii="Calibri" w:hAnsi="Calibri" w:eastAsia="微软雅黑"/>
          <w:b/>
          <w:i w:val="0"/>
          <w:color w:val="1A1A2E"/>
          <w:sz w:val="20"/>
        </w:rPr>
        <w:t>S级论文</w:t>
      </w:r>
    </w:p>
    <w:p>
      <w:r>
        <w:rPr>
          <w:rFonts w:ascii="Calibri" w:hAnsi="Calibri" w:eastAsia="微软雅黑"/>
          <w:b w:val="0"/>
          <w:i w:val="0"/>
          <w:sz w:val="21"/>
        </w:rPr>
      </w:r>
      <w:r>
        <w:rPr>
          <w:rFonts w:ascii="Calibri" w:hAnsi="Calibri" w:eastAsia="微软雅黑"/>
          <w:b/>
          <w:i w:val="0"/>
          <w:color w:val="2980B9"/>
          <w:sz w:val="21"/>
        </w:rPr>
        <w:t>[1]</w:t>
      </w:r>
      <w:r>
        <w:rPr>
          <w:rFonts w:ascii="Calibri" w:hAnsi="Calibri" w:eastAsia="微软雅黑"/>
          <w:b w:val="0"/>
          <w:i w:val="0"/>
          <w:sz w:val="21"/>
        </w:rPr>
        <w:t xml:space="preserve"> Barredo Arrieta A, Díaz-Rodríguez N, Del Ser J, et al. Explainable Artificial Intelligence (XAI): Concepts, taxonomies, opportunities and challenges toward responsible AI[J]. Information Fusion, 2019, 58: 82-115.</w:t>
      </w:r>
    </w:p>
    <w:p>
      <w:r>
        <w:rPr>
          <w:rFonts w:ascii="Calibri" w:hAnsi="Calibri" w:eastAsia="微软雅黑"/>
          <w:b w:val="0"/>
          <w:i w:val="0"/>
          <w:sz w:val="21"/>
        </w:rPr>
      </w:r>
      <w:r>
        <w:rPr>
          <w:rFonts w:ascii="Calibri" w:hAnsi="Calibri" w:eastAsia="微软雅黑"/>
          <w:b/>
          <w:i w:val="0"/>
          <w:color w:val="2980B9"/>
          <w:sz w:val="21"/>
        </w:rPr>
        <w:t>[2]</w:t>
      </w:r>
      <w:r>
        <w:rPr>
          <w:rFonts w:ascii="Calibri" w:hAnsi="Calibri" w:eastAsia="微软雅黑"/>
          <w:b w:val="0"/>
          <w:i w:val="0"/>
          <w:sz w:val="21"/>
        </w:rPr>
        <w:t xml:space="preserve"> Kairouz P, McMahan H B, et al. Advances and Open Problems in Federated Learning[J]. Foundations and Trends® in Machine Learning, 2020, 14(1-2): 1-210.</w:t>
      </w:r>
    </w:p>
    <w:p>
      <w:r>
        <w:rPr>
          <w:rFonts w:ascii="Calibri" w:hAnsi="Calibri" w:eastAsia="微软雅黑"/>
          <w:b w:val="0"/>
          <w:i w:val="0"/>
          <w:sz w:val="21"/>
        </w:rPr>
      </w:r>
      <w:r>
        <w:rPr>
          <w:rFonts w:ascii="Calibri" w:hAnsi="Calibri" w:eastAsia="微软雅黑"/>
          <w:b/>
          <w:i w:val="0"/>
          <w:color w:val="2980B9"/>
          <w:sz w:val="21"/>
        </w:rPr>
        <w:t>[3]</w:t>
      </w:r>
      <w:r>
        <w:rPr>
          <w:rFonts w:ascii="Calibri" w:hAnsi="Calibri" w:eastAsia="微软雅黑"/>
          <w:b w:val="0"/>
          <w:i w:val="0"/>
          <w:sz w:val="21"/>
        </w:rPr>
        <w:t xml:space="preserve"> Staffell I, Scamman D, Velazquez Abad A, et al. The role of hydrogen and fuel cells in the global energy system[J]. Energy &amp; Environmental Science, 2018, 12(2): 463-491.</w:t>
      </w:r>
    </w:p>
    <w:p>
      <w:r>
        <w:rPr>
          <w:rFonts w:ascii="Calibri" w:hAnsi="Calibri" w:eastAsia="微软雅黑"/>
          <w:b w:val="0"/>
          <w:i w:val="0"/>
          <w:sz w:val="21"/>
        </w:rPr>
      </w:r>
      <w:r>
        <w:rPr>
          <w:rFonts w:ascii="Calibri" w:hAnsi="Calibri" w:eastAsia="微软雅黑"/>
          <w:b/>
          <w:i w:val="0"/>
          <w:color w:val="2980B9"/>
          <w:sz w:val="21"/>
        </w:rPr>
        <w:t>[4]</w:t>
      </w:r>
      <w:r>
        <w:rPr>
          <w:rFonts w:ascii="Calibri" w:hAnsi="Calibri" w:eastAsia="微软雅黑"/>
          <w:b w:val="0"/>
          <w:i w:val="0"/>
          <w:sz w:val="21"/>
        </w:rPr>
        <w:t xml:space="preserve"> Andoni M, Robu V, et al. Blockchain technology in the energy sector: A systematic review of challenges and opportunities[J]. Renewable and Sustainable Energy Reviews, 2018, 100: 143-174.</w:t>
      </w:r>
    </w:p>
    <w:p>
      <w:r>
        <w:rPr>
          <w:rFonts w:ascii="Calibri" w:hAnsi="Calibri" w:eastAsia="微软雅黑"/>
          <w:b w:val="0"/>
          <w:i w:val="0"/>
          <w:sz w:val="21"/>
        </w:rPr>
      </w:r>
      <w:r>
        <w:rPr>
          <w:rFonts w:ascii="Calibri" w:hAnsi="Calibri" w:eastAsia="微软雅黑"/>
          <w:b/>
          <w:i w:val="0"/>
          <w:color w:val="2980B9"/>
          <w:sz w:val="21"/>
        </w:rPr>
        <w:t>[5]</w:t>
      </w:r>
      <w:r>
        <w:rPr>
          <w:rFonts w:ascii="Calibri" w:hAnsi="Calibri" w:eastAsia="微软雅黑"/>
          <w:b w:val="0"/>
          <w:i w:val="0"/>
          <w:sz w:val="21"/>
        </w:rPr>
        <w:t xml:space="preserve"> Armaroli N, Balzani V. The Future of Energy Supply: Challenges and Opportunities[J]. Angewandte Chemie International Edition, 2006, 46(1-2): 2-17.</w:t>
      </w:r>
    </w:p>
    <w:p>
      <w:r>
        <w:rPr>
          <w:rFonts w:ascii="Calibri" w:hAnsi="Calibri" w:eastAsia="微软雅黑"/>
          <w:b w:val="0"/>
          <w:i w:val="0"/>
          <w:sz w:val="21"/>
        </w:rPr>
      </w:r>
      <w:r>
        <w:rPr>
          <w:rFonts w:ascii="Calibri" w:hAnsi="Calibri" w:eastAsia="微软雅黑"/>
          <w:b/>
          <w:i w:val="0"/>
          <w:color w:val="2980B9"/>
          <w:sz w:val="21"/>
        </w:rPr>
        <w:t>[7]</w:t>
      </w:r>
      <w:r>
        <w:rPr>
          <w:rFonts w:ascii="Calibri" w:hAnsi="Calibri" w:eastAsia="微软雅黑"/>
          <w:b w:val="0"/>
          <w:i w:val="0"/>
          <w:sz w:val="21"/>
        </w:rPr>
        <w:t xml:space="preserve"> François-Lavet V, Henderson P, Islam R, et al. An Introduction to Deep Reinforcement Learning[J]. Foundations and Trends® in Machine Learning, 2018, 11(3-4): 219-354.</w:t>
      </w:r>
    </w:p>
    <w:p>
      <w:r>
        <w:rPr>
          <w:rFonts w:ascii="Calibri" w:hAnsi="Calibri" w:eastAsia="微软雅黑"/>
          <w:b w:val="0"/>
          <w:i w:val="0"/>
          <w:sz w:val="21"/>
        </w:rPr>
      </w:r>
      <w:r>
        <w:rPr>
          <w:rFonts w:ascii="Calibri" w:hAnsi="Calibri" w:eastAsia="微软雅黑"/>
          <w:b/>
          <w:i w:val="0"/>
          <w:color w:val="2980B9"/>
          <w:sz w:val="21"/>
        </w:rPr>
        <w:t>[8]</w:t>
      </w:r>
      <w:r>
        <w:rPr>
          <w:rFonts w:ascii="Calibri" w:hAnsi="Calibri" w:eastAsia="微软雅黑"/>
          <w:b w:val="0"/>
          <w:i w:val="0"/>
          <w:sz w:val="21"/>
        </w:rPr>
        <w:t xml:space="preserve"> Veers P, Dykes K, Lantz E, et al. Grand challenges in the science of wind energy[J]. Science, 2019, 366(6464): eaau2027.</w:t>
      </w:r>
    </w:p>
    <w:p>
      <w:r>
        <w:rPr>
          <w:rFonts w:ascii="Calibri" w:hAnsi="Calibri" w:eastAsia="微软雅黑"/>
          <w:b w:val="0"/>
          <w:i w:val="0"/>
          <w:sz w:val="21"/>
        </w:rPr>
      </w:r>
      <w:r>
        <w:rPr>
          <w:rFonts w:ascii="Calibri" w:hAnsi="Calibri" w:eastAsia="微软雅黑"/>
          <w:b/>
          <w:i w:val="0"/>
          <w:color w:val="2980B9"/>
          <w:sz w:val="21"/>
        </w:rPr>
        <w:t>[9]</w:t>
      </w:r>
      <w:r>
        <w:rPr>
          <w:rFonts w:ascii="Calibri" w:hAnsi="Calibri" w:eastAsia="微软雅黑"/>
          <w:b w:val="0"/>
          <w:i w:val="0"/>
          <w:sz w:val="21"/>
        </w:rPr>
        <w:t xml:space="preserve"> Schölkopf B, Locatello F, Bauer S, et al. Toward Causal Representation Learning[J]. Proceedings of the IEEE, 2021, 109(5): 612-634.</w:t>
      </w:r>
    </w:p>
    <w:p>
      <w:r>
        <w:rPr>
          <w:rFonts w:ascii="Calibri" w:hAnsi="Calibri" w:eastAsia="微软雅黑"/>
          <w:b w:val="0"/>
          <w:i w:val="0"/>
          <w:sz w:val="21"/>
        </w:rPr>
      </w:r>
      <w:r>
        <w:rPr>
          <w:rFonts w:ascii="Calibri" w:hAnsi="Calibri" w:eastAsia="微软雅黑"/>
          <w:b/>
          <w:i w:val="0"/>
          <w:color w:val="2980B9"/>
          <w:sz w:val="21"/>
        </w:rPr>
        <w:t>[10]</w:t>
      </w:r>
      <w:r>
        <w:rPr>
          <w:rFonts w:ascii="Calibri" w:hAnsi="Calibri" w:eastAsia="微软雅黑"/>
          <w:b w:val="0"/>
          <w:i w:val="0"/>
          <w:sz w:val="21"/>
        </w:rPr>
        <w:t xml:space="preserve"> Chen R C, Dewi C, Huang S W, et al. Selecting critical features for data classification based on machine learning methods[J]. Journal of Big Data, 2020, 7: 52.</w:t>
      </w:r>
    </w:p>
    <w:p>
      <w:r>
        <w:rPr>
          <w:rFonts w:ascii="Calibri" w:hAnsi="Calibri" w:eastAsia="微软雅黑"/>
          <w:b w:val="0"/>
          <w:i w:val="0"/>
          <w:sz w:val="21"/>
        </w:rPr>
      </w:r>
      <w:r>
        <w:rPr>
          <w:rFonts w:ascii="Calibri" w:hAnsi="Calibri" w:eastAsia="微软雅黑"/>
          <w:b/>
          <w:i w:val="0"/>
          <w:color w:val="2980B9"/>
          <w:sz w:val="21"/>
        </w:rPr>
        <w:t>[11]</w:t>
      </w:r>
      <w:r>
        <w:rPr>
          <w:rFonts w:ascii="Calibri" w:hAnsi="Calibri" w:eastAsia="微软雅黑"/>
          <w:b w:val="0"/>
          <w:i w:val="0"/>
          <w:sz w:val="21"/>
        </w:rPr>
        <w:t xml:space="preserve"> Baduge S K, Thilakarathna S, et al. Artificial intelligence and smart vision for building and construction 4.0: Machine and deep learning methods and applications[J]. Automation in Construction, 2022, 141: 104440.</w:t>
      </w:r>
    </w:p>
    <w:p>
      <w:r>
        <w:rPr>
          <w:rFonts w:ascii="Calibri" w:hAnsi="Calibri" w:eastAsia="微软雅黑"/>
          <w:b w:val="0"/>
          <w:i w:val="0"/>
          <w:sz w:val="21"/>
        </w:rPr>
      </w:r>
      <w:r>
        <w:rPr>
          <w:rFonts w:ascii="Calibri" w:hAnsi="Calibri" w:eastAsia="微软雅黑"/>
          <w:b/>
          <w:i w:val="0"/>
          <w:color w:val="2980B9"/>
          <w:sz w:val="21"/>
        </w:rPr>
        <w:t>[12]</w:t>
      </w:r>
      <w:r>
        <w:rPr>
          <w:rFonts w:ascii="Calibri" w:hAnsi="Calibri" w:eastAsia="微软雅黑"/>
          <w:b w:val="0"/>
          <w:i w:val="0"/>
          <w:sz w:val="21"/>
        </w:rPr>
        <w:t xml:space="preserve"> Antonopoulos I, Robu V, et al. Artificial intelligence and machine learning approaches to energy demand-side response: A systematic review[J]. Renewable and Sustainable Energy Reviews, 2020, 130: 109899.</w:t>
      </w:r>
    </w:p>
    <w:p>
      <w:r>
        <w:rPr>
          <w:rFonts w:ascii="Calibri" w:hAnsi="Calibri" w:eastAsia="微软雅黑"/>
          <w:b w:val="0"/>
          <w:i w:val="0"/>
          <w:sz w:val="21"/>
        </w:rPr>
      </w:r>
      <w:r>
        <w:rPr>
          <w:rFonts w:ascii="Calibri" w:hAnsi="Calibri" w:eastAsia="微软雅黑"/>
          <w:b/>
          <w:i w:val="0"/>
          <w:color w:val="2980B9"/>
          <w:sz w:val="21"/>
        </w:rPr>
        <w:t>[13]</w:t>
      </w:r>
      <w:r>
        <w:rPr>
          <w:rFonts w:ascii="Calibri" w:hAnsi="Calibri" w:eastAsia="微软雅黑"/>
          <w:b w:val="0"/>
          <w:i w:val="0"/>
          <w:sz w:val="21"/>
        </w:rPr>
        <w:t xml:space="preserve"> Yao Z, Lum Y, et al. Machine learning for a sustainable energy future[J]. Nature Reviews Materials, 2022, 8: 202-216.</w:t>
      </w:r>
    </w:p>
    <w:p>
      <w:r>
        <w:rPr>
          <w:rFonts w:ascii="Calibri" w:hAnsi="Calibri" w:eastAsia="微软雅黑"/>
          <w:b w:val="0"/>
          <w:i w:val="0"/>
          <w:sz w:val="21"/>
        </w:rPr>
      </w:r>
      <w:r>
        <w:rPr>
          <w:rFonts w:ascii="Calibri" w:hAnsi="Calibri" w:eastAsia="微软雅黑"/>
          <w:b/>
          <w:i w:val="0"/>
          <w:color w:val="2980B9"/>
          <w:sz w:val="21"/>
        </w:rPr>
        <w:t>[14]</w:t>
      </w:r>
      <w:r>
        <w:rPr>
          <w:rFonts w:ascii="Calibri" w:hAnsi="Calibri" w:eastAsia="微软雅黑"/>
          <w:b w:val="0"/>
          <w:i w:val="0"/>
          <w:sz w:val="21"/>
        </w:rPr>
        <w:t xml:space="preserve"> Ghoddusi H, Creamer G G, Rafizadeh N. Machine learning in energy economics and finance: A review[J]. Energy Economics, 2019, 81: 709-727.</w:t>
      </w:r>
    </w:p>
    <w:p>
      <w:r>
        <w:rPr>
          <w:rFonts w:ascii="Calibri" w:hAnsi="Calibri" w:eastAsia="微软雅黑"/>
          <w:b w:val="0"/>
          <w:i w:val="0"/>
          <w:sz w:val="21"/>
        </w:rPr>
      </w:r>
      <w:r>
        <w:rPr>
          <w:rFonts w:ascii="Calibri" w:hAnsi="Calibri" w:eastAsia="微软雅黑"/>
          <w:b/>
          <w:i w:val="0"/>
          <w:color w:val="2980B9"/>
          <w:sz w:val="21"/>
        </w:rPr>
        <w:t>[15]</w:t>
      </w:r>
      <w:r>
        <w:rPr>
          <w:rFonts w:ascii="Calibri" w:hAnsi="Calibri" w:eastAsia="微软雅黑"/>
          <w:b w:val="0"/>
          <w:i w:val="0"/>
          <w:sz w:val="21"/>
        </w:rPr>
        <w:t xml:space="preserve"> Storm H, Baylis K, Heckelei T. Machine learning in agricultural and applied economics[J]. European Review of Agricultural Economics, 2019, 47(3): 849-892.</w:t>
      </w:r>
    </w:p>
    <w:p>
      <w:r>
        <w:rPr>
          <w:rFonts w:ascii="Calibri" w:hAnsi="Calibri" w:eastAsia="微软雅黑"/>
          <w:b w:val="0"/>
          <w:i w:val="0"/>
          <w:sz w:val="21"/>
        </w:rPr>
      </w:r>
      <w:r>
        <w:rPr>
          <w:rFonts w:ascii="Calibri" w:hAnsi="Calibri" w:eastAsia="微软雅黑"/>
          <w:b/>
          <w:i w:val="0"/>
          <w:color w:val="2980B9"/>
          <w:sz w:val="21"/>
        </w:rPr>
        <w:t>[17]</w:t>
      </w:r>
      <w:r>
        <w:rPr>
          <w:rFonts w:ascii="Calibri" w:hAnsi="Calibri" w:eastAsia="微软雅黑"/>
          <w:b w:val="0"/>
          <w:i w:val="0"/>
          <w:sz w:val="21"/>
        </w:rPr>
        <w:t xml:space="preserve"> Willard J, Jia X, Xu S, et al. Integrating Scientific Knowledge with Machine Learning for Engineering and Environmental Systems[J]. ACM Computing Surveys, 2022, 55(4): 1-37.</w:t>
      </w:r>
    </w:p>
    <w:p>
      <w:r>
        <w:rPr>
          <w:rFonts w:ascii="Calibri" w:hAnsi="Calibri" w:eastAsia="微软雅黑"/>
          <w:b w:val="0"/>
          <w:i w:val="0"/>
          <w:sz w:val="21"/>
        </w:rPr>
      </w:r>
      <w:r>
        <w:rPr>
          <w:rFonts w:ascii="Calibri" w:hAnsi="Calibri" w:eastAsia="微软雅黑"/>
          <w:b/>
          <w:i w:val="0"/>
          <w:color w:val="2980B9"/>
          <w:sz w:val="21"/>
        </w:rPr>
        <w:t>[18]</w:t>
      </w:r>
      <w:r>
        <w:rPr>
          <w:rFonts w:ascii="Calibri" w:hAnsi="Calibri" w:eastAsia="微软雅黑"/>
          <w:b w:val="0"/>
          <w:i w:val="0"/>
          <w:sz w:val="21"/>
        </w:rPr>
        <w:t xml:space="preserve"> Makridakis S, Spiliotis E, Assimakopoulos V. Statistical and Machine Learning forecasting methods: Concerns and ways forward[J]. PLoS ONE, 2018, 13(3): e0194889.</w:t>
      </w:r>
    </w:p>
    <w:p>
      <w:r>
        <w:rPr>
          <w:rFonts w:ascii="Calibri" w:hAnsi="Calibri" w:eastAsia="微软雅黑"/>
          <w:b w:val="0"/>
          <w:i w:val="0"/>
          <w:sz w:val="21"/>
        </w:rPr>
      </w:r>
      <w:r>
        <w:rPr>
          <w:rFonts w:ascii="Calibri" w:hAnsi="Calibri" w:eastAsia="微软雅黑"/>
          <w:b/>
          <w:i w:val="0"/>
          <w:color w:val="2980B9"/>
          <w:sz w:val="21"/>
        </w:rPr>
        <w:t>[19]</w:t>
      </w:r>
      <w:r>
        <w:rPr>
          <w:rFonts w:ascii="Calibri" w:hAnsi="Calibri" w:eastAsia="微软雅黑"/>
          <w:b w:val="0"/>
          <w:i w:val="0"/>
          <w:sz w:val="21"/>
        </w:rPr>
        <w:t xml:space="preserve"> Shaukat K, Luo S, et al. A Survey on Machine Learning Techniques for Cyber Security in the Last Decade[J]. IEEE Access, 2020, 8: 222310-222354.</w:t>
      </w:r>
    </w:p>
    <w:p>
      <w:r>
        <w:rPr>
          <w:rFonts w:ascii="Calibri" w:hAnsi="Calibri" w:eastAsia="微软雅黑"/>
          <w:b w:val="0"/>
          <w:i w:val="0"/>
          <w:sz w:val="21"/>
        </w:rPr>
      </w:r>
      <w:r>
        <w:rPr>
          <w:rFonts w:ascii="Calibri" w:hAnsi="Calibri" w:eastAsia="微软雅黑"/>
          <w:b/>
          <w:i w:val="0"/>
          <w:color w:val="2980B9"/>
          <w:sz w:val="21"/>
        </w:rPr>
        <w:t>[21]</w:t>
      </w:r>
      <w:r>
        <w:rPr>
          <w:rFonts w:ascii="Calibri" w:hAnsi="Calibri" w:eastAsia="微软雅黑"/>
          <w:b w:val="0"/>
          <w:i w:val="0"/>
          <w:sz w:val="21"/>
        </w:rPr>
        <w:t xml:space="preserve"> Friedlingstein P, O’Sullivan M, et al. Global Carbon Budget 2023[J]. Earth System Science Data, 2023, 15: 5301-5365.</w:t>
      </w:r>
    </w:p>
    <w:p>
      <w:r>
        <w:rPr>
          <w:rFonts w:ascii="Calibri" w:hAnsi="Calibri" w:eastAsia="微软雅黑"/>
          <w:b w:val="0"/>
          <w:i w:val="0"/>
          <w:sz w:val="21"/>
        </w:rPr>
      </w:r>
      <w:r>
        <w:rPr>
          <w:rFonts w:ascii="Calibri" w:hAnsi="Calibri" w:eastAsia="微软雅黑"/>
          <w:b/>
          <w:i w:val="0"/>
          <w:color w:val="2980B9"/>
          <w:sz w:val="21"/>
        </w:rPr>
        <w:t>[22]</w:t>
      </w:r>
      <w:r>
        <w:rPr>
          <w:rFonts w:ascii="Calibri" w:hAnsi="Calibri" w:eastAsia="微软雅黑"/>
          <w:b w:val="0"/>
          <w:i w:val="0"/>
          <w:sz w:val="21"/>
        </w:rPr>
        <w:t xml:space="preserve"> Frank D, Reichstein M, et al. Effects of climate extremes on the terrestrial carbon cycle: concepts, processes and potential future impacts[J]. Global Change Biology, 2015, 21(8): 2861-2880.</w:t>
      </w:r>
    </w:p>
    <w:p>
      <w:r>
        <w:rPr>
          <w:rFonts w:ascii="Calibri" w:hAnsi="Calibri" w:eastAsia="微软雅黑"/>
          <w:b w:val="0"/>
          <w:i w:val="0"/>
          <w:sz w:val="21"/>
        </w:rPr>
      </w:r>
      <w:r>
        <w:rPr>
          <w:rFonts w:ascii="Calibri" w:hAnsi="Calibri" w:eastAsia="微软雅黑"/>
          <w:b/>
          <w:i w:val="0"/>
          <w:color w:val="2980B9"/>
          <w:sz w:val="21"/>
        </w:rPr>
        <w:t>[23]</w:t>
      </w:r>
      <w:r>
        <w:rPr>
          <w:rFonts w:ascii="Calibri" w:hAnsi="Calibri" w:eastAsia="微软雅黑"/>
          <w:b w:val="0"/>
          <w:i w:val="0"/>
          <w:sz w:val="21"/>
        </w:rPr>
        <w:t xml:space="preserve"> Liu J, Wang H, et al. Graphitic carbon nitride “reloaded”: emerging applications beyond (photo)catalysis[J]. Chemical Society Reviews, 2016, 45: 2308-2350.</w:t>
      </w:r>
    </w:p>
    <w:p>
      <w:r>
        <w:rPr>
          <w:rFonts w:ascii="Calibri" w:hAnsi="Calibri" w:eastAsia="微软雅黑"/>
          <w:b w:val="0"/>
          <w:i w:val="0"/>
          <w:sz w:val="21"/>
        </w:rPr>
      </w:r>
      <w:r>
        <w:rPr>
          <w:rFonts w:ascii="Calibri" w:hAnsi="Calibri" w:eastAsia="微软雅黑"/>
          <w:b/>
          <w:i w:val="0"/>
          <w:color w:val="2980B9"/>
          <w:sz w:val="21"/>
        </w:rPr>
        <w:t>[24]</w:t>
      </w:r>
      <w:r>
        <w:rPr>
          <w:rFonts w:ascii="Calibri" w:hAnsi="Calibri" w:eastAsia="微软雅黑"/>
          <w:b w:val="0"/>
          <w:i w:val="0"/>
          <w:sz w:val="21"/>
        </w:rPr>
        <w:t xml:space="preserve"> Boyd P W, Claustre H, et al. Multi-faceted particle pumps drive carbon sequestration in the ocean[J]. Nature, 2019, 568: 327-335.</w:t>
      </w:r>
    </w:p>
    <w:p>
      <w:r>
        <w:rPr>
          <w:rFonts w:ascii="Calibri" w:hAnsi="Calibri" w:eastAsia="微软雅黑"/>
          <w:b w:val="0"/>
          <w:i w:val="0"/>
          <w:sz w:val="21"/>
        </w:rPr>
      </w:r>
      <w:r>
        <w:rPr>
          <w:rFonts w:ascii="Calibri" w:hAnsi="Calibri" w:eastAsia="微软雅黑"/>
          <w:b/>
          <w:i w:val="0"/>
          <w:color w:val="2980B9"/>
          <w:sz w:val="21"/>
        </w:rPr>
        <w:t>[25]</w:t>
      </w:r>
      <w:r>
        <w:rPr>
          <w:rFonts w:ascii="Calibri" w:hAnsi="Calibri" w:eastAsia="微软雅黑"/>
          <w:b w:val="0"/>
          <w:i w:val="0"/>
          <w:sz w:val="21"/>
        </w:rPr>
        <w:t xml:space="preserve"> Hansen J E, Kharecha P, et al. Assessing “Dangerous Climate Change”: Required Reduction of Carbon Emissions to Protect Young People, Future Generations and Nature[J]. PLoS ONE, 2013, 8(12): e81648.</w:t>
      </w:r>
    </w:p>
    <w:p>
      <w:r>
        <w:rPr>
          <w:rFonts w:ascii="Calibri" w:hAnsi="Calibri" w:eastAsia="微软雅黑"/>
          <w:b w:val="0"/>
          <w:i w:val="0"/>
          <w:sz w:val="21"/>
        </w:rPr>
      </w:r>
      <w:r>
        <w:rPr>
          <w:rFonts w:ascii="Calibri" w:hAnsi="Calibri" w:eastAsia="微软雅黑"/>
          <w:b/>
          <w:i w:val="0"/>
          <w:color w:val="2980B9"/>
          <w:sz w:val="21"/>
        </w:rPr>
        <w:t>[49]</w:t>
      </w:r>
      <w:r>
        <w:rPr>
          <w:rFonts w:ascii="Calibri" w:hAnsi="Calibri" w:eastAsia="微软雅黑"/>
          <w:b w:val="0"/>
          <w:i w:val="0"/>
          <w:sz w:val="21"/>
        </w:rPr>
        <w:t xml:space="preserve"> Alzubaidi L, Zhang J, et al. Review of deep learning: concepts, CNN architectures, challenges, applications[J]. Journal of Big Data, 2021, 8: 53.</w:t>
      </w:r>
    </w:p>
    <w:p>
      <w:r>
        <w:rPr>
          <w:rFonts w:ascii="Calibri" w:hAnsi="Calibri" w:eastAsia="微软雅黑"/>
          <w:b w:val="0"/>
          <w:i w:val="0"/>
          <w:sz w:val="21"/>
        </w:rPr>
      </w:r>
      <w:r>
        <w:rPr>
          <w:rFonts w:ascii="Calibri" w:hAnsi="Calibri" w:eastAsia="微软雅黑"/>
          <w:b/>
          <w:i w:val="0"/>
          <w:color w:val="2980B9"/>
          <w:sz w:val="21"/>
        </w:rPr>
        <w:t>[50]</w:t>
      </w:r>
      <w:r>
        <w:rPr>
          <w:rFonts w:ascii="Calibri" w:hAnsi="Calibri" w:eastAsia="微软雅黑"/>
          <w:b w:val="0"/>
          <w:i w:val="0"/>
          <w:sz w:val="21"/>
        </w:rPr>
        <w:t xml:space="preserve"> Wang X, Han Y, et al. Convergence of Edge Computing and Deep Learning: A Comprehensive Survey[J]. IEEE Communications Surveys &amp; Tutorials, 2020, 22(2): 869-904.</w:t>
      </w:r>
    </w:p>
    <w:p>
      <w:r>
        <w:rPr>
          <w:rFonts w:ascii="Calibri" w:hAnsi="Calibri" w:eastAsia="微软雅黑"/>
          <w:b w:val="0"/>
          <w:i w:val="0"/>
          <w:sz w:val="21"/>
        </w:rPr>
      </w:r>
      <w:r>
        <w:rPr>
          <w:rFonts w:ascii="Calibri" w:hAnsi="Calibri" w:eastAsia="微软雅黑"/>
          <w:b/>
          <w:i w:val="0"/>
          <w:color w:val="2980B9"/>
          <w:sz w:val="21"/>
        </w:rPr>
        <w:t>[51]</w:t>
      </w:r>
      <w:r>
        <w:rPr>
          <w:rFonts w:ascii="Calibri" w:hAnsi="Calibri" w:eastAsia="微软雅黑"/>
          <w:b w:val="0"/>
          <w:i w:val="0"/>
          <w:sz w:val="21"/>
        </w:rPr>
        <w:t xml:space="preserve"> Aslam S, Herodotou H, et al. A survey on deep learning methods for power load and renewable energy forecasting in smart microgrids[J]. Renewable and Sustainable Energy Reviews, 2021, 144: 110992.</w:t>
      </w:r>
    </w:p>
    <w:p>
      <w:r>
        <w:rPr>
          <w:rFonts w:ascii="Calibri" w:hAnsi="Calibri" w:eastAsia="微软雅黑"/>
          <w:b w:val="0"/>
          <w:i w:val="0"/>
          <w:sz w:val="21"/>
        </w:rPr>
      </w:r>
      <w:r>
        <w:rPr>
          <w:rFonts w:ascii="Calibri" w:hAnsi="Calibri" w:eastAsia="微软雅黑"/>
          <w:b/>
          <w:i w:val="0"/>
          <w:color w:val="2980B9"/>
          <w:sz w:val="21"/>
        </w:rPr>
        <w:t>[52]</w:t>
      </w:r>
      <w:r>
        <w:rPr>
          <w:rFonts w:ascii="Calibri" w:hAnsi="Calibri" w:eastAsia="微软雅黑"/>
          <w:b w:val="0"/>
          <w:i w:val="0"/>
          <w:sz w:val="21"/>
        </w:rPr>
        <w:t xml:space="preserve"> Somu N, Gauthama Raman M R, et al. A deep learning framework for building energy consumption forecast[J]. Renewable and Sustainable Energy Reviews, 2020, 126: 109814.</w:t>
      </w:r>
    </w:p>
    <w:p>
      <w:r>
        <w:rPr>
          <w:rFonts w:ascii="Calibri" w:hAnsi="Calibri" w:eastAsia="微软雅黑"/>
          <w:b w:val="0"/>
          <w:i w:val="0"/>
          <w:sz w:val="21"/>
        </w:rPr>
      </w:r>
      <w:r>
        <w:rPr>
          <w:rFonts w:ascii="Calibri" w:hAnsi="Calibri" w:eastAsia="微软雅黑"/>
          <w:b/>
          <w:i w:val="0"/>
          <w:color w:val="2980B9"/>
          <w:sz w:val="21"/>
        </w:rPr>
        <w:t>[53]</w:t>
      </w:r>
      <w:r>
        <w:rPr>
          <w:rFonts w:ascii="Calibri" w:hAnsi="Calibri" w:eastAsia="微软雅黑"/>
          <w:b w:val="0"/>
          <w:i w:val="0"/>
          <w:sz w:val="21"/>
        </w:rPr>
        <w:t xml:space="preserve"> Wang Z, Hong T, et al. Building thermal load prediction through shallow machine learning and deep learning[J]. Applied Energy, 2020, 263: 114609.</w:t>
      </w:r>
    </w:p>
    <w:p>
      <w:r>
        <w:rPr>
          <w:rFonts w:ascii="Calibri" w:hAnsi="Calibri" w:eastAsia="微软雅黑"/>
          <w:b w:val="0"/>
          <w:i w:val="0"/>
          <w:sz w:val="21"/>
        </w:rPr>
      </w:r>
      <w:r>
        <w:rPr>
          <w:rFonts w:ascii="Calibri" w:hAnsi="Calibri" w:eastAsia="微软雅黑"/>
          <w:b/>
          <w:i w:val="0"/>
          <w:color w:val="2980B9"/>
          <w:sz w:val="21"/>
        </w:rPr>
        <w:t>[54]</w:t>
      </w:r>
      <w:r>
        <w:rPr>
          <w:rFonts w:ascii="Calibri" w:hAnsi="Calibri" w:eastAsia="微软雅黑"/>
          <w:b w:val="0"/>
          <w:i w:val="0"/>
          <w:sz w:val="21"/>
        </w:rPr>
        <w:t xml:space="preserve"> Bedi J, Toshniwal D. Deep learning framework to forecast electricity demand[J]. Applied Energy, 2019, 238: 1312-1326.</w:t>
      </w:r>
    </w:p>
    <w:p>
      <w:r>
        <w:rPr>
          <w:rFonts w:ascii="Calibri" w:hAnsi="Calibri" w:eastAsia="微软雅黑"/>
          <w:b w:val="0"/>
          <w:i w:val="0"/>
          <w:sz w:val="21"/>
        </w:rPr>
      </w:r>
      <w:r>
        <w:rPr>
          <w:rFonts w:ascii="Calibri" w:hAnsi="Calibri" w:eastAsia="微软雅黑"/>
          <w:b/>
          <w:i w:val="0"/>
          <w:color w:val="2980B9"/>
          <w:sz w:val="21"/>
        </w:rPr>
        <w:t>[55]</w:t>
      </w:r>
      <w:r>
        <w:rPr>
          <w:rFonts w:ascii="Calibri" w:hAnsi="Calibri" w:eastAsia="微软雅黑"/>
          <w:b w:val="0"/>
          <w:i w:val="0"/>
          <w:sz w:val="21"/>
        </w:rPr>
        <w:t xml:space="preserve"> Ağbulut Ü. Forecasting of transportation-related energy demand and CO2 emissions in Turkey with deep learning[J]. Sustainable Production and Consumption, 2021, 28: 1416-1431.</w:t>
      </w:r>
    </w:p>
    <w:p>
      <w:r>
        <w:rPr>
          <w:rFonts w:ascii="Calibri" w:hAnsi="Calibri" w:eastAsia="微软雅黑"/>
          <w:b w:val="0"/>
          <w:i w:val="0"/>
          <w:sz w:val="21"/>
        </w:rPr>
      </w:r>
      <w:r>
        <w:rPr>
          <w:rFonts w:ascii="Calibri" w:hAnsi="Calibri" w:eastAsia="微软雅黑"/>
          <w:b/>
          <w:i w:val="0"/>
          <w:color w:val="2980B9"/>
          <w:sz w:val="21"/>
        </w:rPr>
        <w:t>[56]</w:t>
      </w:r>
      <w:r>
        <w:rPr>
          <w:rFonts w:ascii="Calibri" w:hAnsi="Calibri" w:eastAsia="微软雅黑"/>
          <w:b w:val="0"/>
          <w:i w:val="0"/>
          <w:sz w:val="21"/>
        </w:rPr>
        <w:t xml:space="preserve"> Nam K J, Hwangbo S, et al. A deep learning-based forecasting model for renewable energy scenarios to achieve sustainable energy[J]. Renewable and Sustainable Energy Reviews, 2020, 131: 109965.</w:t>
      </w:r>
    </w:p>
    <w:p>
      <w:r>
        <w:rPr>
          <w:rFonts w:ascii="Calibri" w:hAnsi="Calibri" w:eastAsia="微软雅黑"/>
          <w:b w:val="0"/>
          <w:i w:val="0"/>
          <w:sz w:val="21"/>
        </w:rPr>
      </w:r>
      <w:r>
        <w:rPr>
          <w:rFonts w:ascii="Calibri" w:hAnsi="Calibri" w:eastAsia="微软雅黑"/>
          <w:b/>
          <w:i w:val="0"/>
          <w:color w:val="2980B9"/>
          <w:sz w:val="21"/>
        </w:rPr>
        <w:t>[57]</w:t>
      </w:r>
      <w:r>
        <w:rPr>
          <w:rFonts w:ascii="Calibri" w:hAnsi="Calibri" w:eastAsia="微软雅黑"/>
          <w:b w:val="0"/>
          <w:i w:val="0"/>
          <w:sz w:val="21"/>
        </w:rPr>
        <w:t xml:space="preserve"> Ganaie M A,</w:t>
      </w:r>
    </w:p>
    <w:p>
      <w:pPr>
        <w:pStyle w:val="Heading2"/>
      </w:pPr>
      <w:r>
        <w:rPr>
          <w:rFonts w:ascii="Calibri" w:hAnsi="Calibri" w:eastAsia="微软雅黑"/>
          <w:b/>
          <w:i w:val="0"/>
          <w:color w:val="1A1A2E"/>
          <w:sz w:val="24"/>
        </w:rPr>
        <w:t>参考文献</w:t>
      </w:r>
    </w:p>
    <w:p>
      <w:pPr>
        <w:pStyle w:val="Heading3"/>
      </w:pPr>
      <w:r>
        <w:rPr>
          <w:rFonts w:ascii="Calibri" w:hAnsi="Calibri" w:eastAsia="微软雅黑"/>
          <w:b/>
          <w:i w:val="0"/>
          <w:color w:val="1A1A2E"/>
          <w:sz w:val="20"/>
        </w:rPr>
        <w:t>S级（顶刊）</w:t>
      </w:r>
    </w:p>
    <w:p>
      <w:r>
        <w:rPr>
          <w:rFonts w:ascii="Calibri" w:hAnsi="Calibri" w:eastAsia="微软雅黑"/>
          <w:b w:val="0"/>
          <w:i w:val="0"/>
          <w:sz w:val="21"/>
        </w:rPr>
      </w:r>
      <w:r>
        <w:rPr>
          <w:rFonts w:ascii="Calibri" w:hAnsi="Calibri" w:eastAsia="微软雅黑"/>
          <w:b/>
          <w:i w:val="0"/>
          <w:color w:val="2980B9"/>
          <w:sz w:val="21"/>
        </w:rPr>
        <w:t>[1]</w:t>
      </w:r>
      <w:r>
        <w:rPr>
          <w:rFonts w:ascii="Calibri" w:hAnsi="Calibri" w:eastAsia="微软雅黑"/>
          <w:b w:val="0"/>
          <w:i w:val="0"/>
          <w:sz w:val="21"/>
        </w:rPr>
        <w:t xml:space="preserve"> Alejandro Barredo Arrieta, Natalia Díaz-Rodríguez, Javier Del Ser, 等. Explainable Artificial Intelligence (XAI): Concepts, taxonomies, opportunities and challenges toward responsible AI. *Information Fusion*, 2019. doi:10.1016/j.inffus.2019.12.012.</w:t>
      </w:r>
    </w:p>
    <w:p>
      <w:r>
        <w:rPr>
          <w:rFonts w:ascii="Calibri" w:hAnsi="Calibri" w:eastAsia="微软雅黑"/>
          <w:b w:val="0"/>
          <w:i w:val="0"/>
          <w:sz w:val="21"/>
        </w:rPr>
      </w:r>
      <w:r>
        <w:rPr>
          <w:rFonts w:ascii="Calibri" w:hAnsi="Calibri" w:eastAsia="微软雅黑"/>
          <w:b/>
          <w:i w:val="0"/>
          <w:color w:val="2980B9"/>
          <w:sz w:val="21"/>
        </w:rPr>
        <w:t>[2]</w:t>
      </w:r>
      <w:r>
        <w:rPr>
          <w:rFonts w:ascii="Calibri" w:hAnsi="Calibri" w:eastAsia="微软雅黑"/>
          <w:b w:val="0"/>
          <w:i w:val="0"/>
          <w:sz w:val="21"/>
        </w:rPr>
        <w:t xml:space="preserve"> Peter Kairouz, H. Brendan McMahan, Brendan Avent, 等. Advances and Open Problems in Federated Learning. *Foundations and Trends® in Machine Learning*, 2020. doi:10.1561/2200000083.</w:t>
      </w:r>
    </w:p>
    <w:p>
      <w:r>
        <w:rPr>
          <w:rFonts w:ascii="Calibri" w:hAnsi="Calibri" w:eastAsia="微软雅黑"/>
          <w:b w:val="0"/>
          <w:i w:val="0"/>
          <w:sz w:val="21"/>
        </w:rPr>
      </w:r>
      <w:r>
        <w:rPr>
          <w:rFonts w:ascii="Calibri" w:hAnsi="Calibri" w:eastAsia="微软雅黑"/>
          <w:b/>
          <w:i w:val="0"/>
          <w:color w:val="2980B9"/>
          <w:sz w:val="21"/>
        </w:rPr>
        <w:t>[3]</w:t>
      </w:r>
      <w:r>
        <w:rPr>
          <w:rFonts w:ascii="Calibri" w:hAnsi="Calibri" w:eastAsia="微软雅黑"/>
          <w:b w:val="0"/>
          <w:i w:val="0"/>
          <w:sz w:val="21"/>
        </w:rPr>
        <w:t xml:space="preserve"> Iain Staffell, Daniel Scamman, Anthony Velazquez Abad, 等. The role of hydrogen and fuel cells in the global energy system. *Energy &amp; Environmental Science*, 2018. doi:10.1039/c8ee01157e.</w:t>
      </w:r>
    </w:p>
    <w:p>
      <w:r>
        <w:rPr>
          <w:rFonts w:ascii="Calibri" w:hAnsi="Calibri" w:eastAsia="微软雅黑"/>
          <w:b w:val="0"/>
          <w:i w:val="0"/>
          <w:sz w:val="21"/>
        </w:rPr>
      </w:r>
      <w:r>
        <w:rPr>
          <w:rFonts w:ascii="Calibri" w:hAnsi="Calibri" w:eastAsia="微软雅黑"/>
          <w:b/>
          <w:i w:val="0"/>
          <w:color w:val="2980B9"/>
          <w:sz w:val="21"/>
        </w:rPr>
        <w:t>[4]</w:t>
      </w:r>
      <w:r>
        <w:rPr>
          <w:rFonts w:ascii="Calibri" w:hAnsi="Calibri" w:eastAsia="微软雅黑"/>
          <w:b w:val="0"/>
          <w:i w:val="0"/>
          <w:sz w:val="21"/>
        </w:rPr>
        <w:t xml:space="preserve"> Merlinda Andoni, Valentin Robu, David Flynn, 等. Blockchain technology in the energy sector: A systematic review of challenges and opportunities. *Renewable and Sustainable Energy Reviews*, 2018. doi:10.1016/j.rser.2018.10.014.</w:t>
      </w:r>
    </w:p>
    <w:p>
      <w:r>
        <w:rPr>
          <w:rFonts w:ascii="Calibri" w:hAnsi="Calibri" w:eastAsia="微软雅黑"/>
          <w:b w:val="0"/>
          <w:i w:val="0"/>
          <w:sz w:val="21"/>
        </w:rPr>
      </w:r>
      <w:r>
        <w:rPr>
          <w:rFonts w:ascii="Calibri" w:hAnsi="Calibri" w:eastAsia="微软雅黑"/>
          <w:b/>
          <w:i w:val="0"/>
          <w:color w:val="2980B9"/>
          <w:sz w:val="21"/>
        </w:rPr>
        <w:t>[5]</w:t>
      </w:r>
      <w:r>
        <w:rPr>
          <w:rFonts w:ascii="Calibri" w:hAnsi="Calibri" w:eastAsia="微软雅黑"/>
          <w:b w:val="0"/>
          <w:i w:val="0"/>
          <w:sz w:val="21"/>
        </w:rPr>
        <w:t xml:space="preserve"> Nicola Armaroli, Vincenzo Balzani. The Future of Energy Supply: Challenges and Opportunities. *Angewandte Chemie International Edition*, 2006. doi:10.1002/anie.200602373.</w:t>
      </w:r>
    </w:p>
    <w:p>
      <w:r>
        <w:rPr>
          <w:rFonts w:ascii="Calibri" w:hAnsi="Calibri" w:eastAsia="微软雅黑"/>
          <w:b w:val="0"/>
          <w:i w:val="0"/>
          <w:sz w:val="21"/>
        </w:rPr>
      </w:r>
      <w:r>
        <w:rPr>
          <w:rFonts w:ascii="Calibri" w:hAnsi="Calibri" w:eastAsia="微软雅黑"/>
          <w:b/>
          <w:i w:val="0"/>
          <w:color w:val="2980B9"/>
          <w:sz w:val="21"/>
        </w:rPr>
        <w:t>[7]</w:t>
      </w:r>
      <w:r>
        <w:rPr>
          <w:rFonts w:ascii="Calibri" w:hAnsi="Calibri" w:eastAsia="微软雅黑"/>
          <w:b w:val="0"/>
          <w:i w:val="0"/>
          <w:sz w:val="21"/>
        </w:rPr>
        <w:t xml:space="preserve"> Vincent François-Lavet, Peter Henderson, Riashat Islam, 等. An Introduction to Deep Reinforcement Learning. *Foundations and Trends® in Machine Learning*, 2018. doi:10.1561/2200000071.</w:t>
      </w:r>
    </w:p>
    <w:p>
      <w:r>
        <w:rPr>
          <w:rFonts w:ascii="Calibri" w:hAnsi="Calibri" w:eastAsia="微软雅黑"/>
          <w:b w:val="0"/>
          <w:i w:val="0"/>
          <w:sz w:val="21"/>
        </w:rPr>
      </w:r>
      <w:r>
        <w:rPr>
          <w:rFonts w:ascii="Calibri" w:hAnsi="Calibri" w:eastAsia="微软雅黑"/>
          <w:b/>
          <w:i w:val="0"/>
          <w:color w:val="2980B9"/>
          <w:sz w:val="21"/>
        </w:rPr>
        <w:t>[8]</w:t>
      </w:r>
      <w:r>
        <w:rPr>
          <w:rFonts w:ascii="Calibri" w:hAnsi="Calibri" w:eastAsia="微软雅黑"/>
          <w:b w:val="0"/>
          <w:i w:val="0"/>
          <w:sz w:val="21"/>
        </w:rPr>
        <w:t xml:space="preserve"> Paul Veers, Katherine Dykes, Eric Lantz, 等. Grand challenges in the science of wind energy. *Science*, 2019. doi:10.1126/science.aau2027.</w:t>
      </w:r>
    </w:p>
    <w:p>
      <w:r>
        <w:rPr>
          <w:rFonts w:ascii="Calibri" w:hAnsi="Calibri" w:eastAsia="微软雅黑"/>
          <w:b w:val="0"/>
          <w:i w:val="0"/>
          <w:sz w:val="21"/>
        </w:rPr>
      </w:r>
      <w:r>
        <w:rPr>
          <w:rFonts w:ascii="Calibri" w:hAnsi="Calibri" w:eastAsia="微软雅黑"/>
          <w:b/>
          <w:i w:val="0"/>
          <w:color w:val="2980B9"/>
          <w:sz w:val="21"/>
        </w:rPr>
        <w:t>[9]</w:t>
      </w:r>
      <w:r>
        <w:rPr>
          <w:rFonts w:ascii="Calibri" w:hAnsi="Calibri" w:eastAsia="微软雅黑"/>
          <w:b w:val="0"/>
          <w:i w:val="0"/>
          <w:sz w:val="21"/>
        </w:rPr>
        <w:t xml:space="preserve"> Bernhard Schölkopf, Francesco Locatello, Stefan Bauer, 等. Toward Causal Representation Learning. *Proceedings of the IEEE*, 2021. doi:10.1109/jproc.2021.3058954.</w:t>
      </w:r>
    </w:p>
    <w:p>
      <w:r>
        <w:rPr>
          <w:rFonts w:ascii="Calibri" w:hAnsi="Calibri" w:eastAsia="微软雅黑"/>
          <w:b w:val="0"/>
          <w:i w:val="0"/>
          <w:sz w:val="21"/>
        </w:rPr>
      </w:r>
      <w:r>
        <w:rPr>
          <w:rFonts w:ascii="Calibri" w:hAnsi="Calibri" w:eastAsia="微软雅黑"/>
          <w:b/>
          <w:i w:val="0"/>
          <w:color w:val="2980B9"/>
          <w:sz w:val="21"/>
        </w:rPr>
        <w:t>[10]</w:t>
      </w:r>
      <w:r>
        <w:rPr>
          <w:rFonts w:ascii="Calibri" w:hAnsi="Calibri" w:eastAsia="微软雅黑"/>
          <w:b w:val="0"/>
          <w:i w:val="0"/>
          <w:sz w:val="21"/>
        </w:rPr>
        <w:t xml:space="preserve"> Rung-Ching Chen, Christine Dewi, Su-Wen Huang, 等. Selecting critical features for data classification based on machine learning methods. *Journal Of Big Data*, 2020. doi:10.1186/s40537-020-00327-4.</w:t>
      </w:r>
    </w:p>
    <w:p>
      <w:r>
        <w:rPr>
          <w:rFonts w:ascii="Calibri" w:hAnsi="Calibri" w:eastAsia="微软雅黑"/>
          <w:b w:val="0"/>
          <w:i w:val="0"/>
          <w:sz w:val="21"/>
        </w:rPr>
      </w:r>
      <w:r>
        <w:rPr>
          <w:rFonts w:ascii="Calibri" w:hAnsi="Calibri" w:eastAsia="微软雅黑"/>
          <w:b/>
          <w:i w:val="0"/>
          <w:color w:val="2980B9"/>
          <w:sz w:val="21"/>
        </w:rPr>
        <w:t>[11]</w:t>
      </w:r>
      <w:r>
        <w:rPr>
          <w:rFonts w:ascii="Calibri" w:hAnsi="Calibri" w:eastAsia="微软雅黑"/>
          <w:b w:val="0"/>
          <w:i w:val="0"/>
          <w:sz w:val="21"/>
        </w:rPr>
        <w:t xml:space="preserve"> Shanaka Kristombu Baduge, Sadeep Thilakarathna, Jude Shalitha Perera, 等. Artificial intelligence and smart vision for building and construction 4.0: Machine and deep learning methods and applications. *Automation in Construction*, 2022. doi:10.1016/j.autcon.2022.104440.</w:t>
      </w:r>
    </w:p>
    <w:p>
      <w:r>
        <w:rPr>
          <w:rFonts w:ascii="Calibri" w:hAnsi="Calibri" w:eastAsia="微软雅黑"/>
          <w:b w:val="0"/>
          <w:i w:val="0"/>
          <w:sz w:val="21"/>
        </w:rPr>
      </w:r>
      <w:r>
        <w:rPr>
          <w:rFonts w:ascii="Calibri" w:hAnsi="Calibri" w:eastAsia="微软雅黑"/>
          <w:b/>
          <w:i w:val="0"/>
          <w:color w:val="2980B9"/>
          <w:sz w:val="21"/>
        </w:rPr>
        <w:t>[12]</w:t>
      </w:r>
      <w:r>
        <w:rPr>
          <w:rFonts w:ascii="Calibri" w:hAnsi="Calibri" w:eastAsia="微软雅黑"/>
          <w:b w:val="0"/>
          <w:i w:val="0"/>
          <w:sz w:val="21"/>
        </w:rPr>
        <w:t xml:space="preserve"> Ioannis Antonopoulos, Valentin Robu, Benoit Couraud, 等. Artificial intelligence and machine learning approaches to energy demand-side response: A systematic review. *Renewable and Sustainable Energy Reviews*, 2020. doi:10.1016/j.rser.2020.109899.</w:t>
      </w:r>
    </w:p>
    <w:p>
      <w:r>
        <w:rPr>
          <w:rFonts w:ascii="Calibri" w:hAnsi="Calibri" w:eastAsia="微软雅黑"/>
          <w:b w:val="0"/>
          <w:i w:val="0"/>
          <w:sz w:val="21"/>
        </w:rPr>
      </w:r>
      <w:r>
        <w:rPr>
          <w:rFonts w:ascii="Calibri" w:hAnsi="Calibri" w:eastAsia="微软雅黑"/>
          <w:b/>
          <w:i w:val="0"/>
          <w:color w:val="2980B9"/>
          <w:sz w:val="21"/>
        </w:rPr>
        <w:t>[13]</w:t>
      </w:r>
      <w:r>
        <w:rPr>
          <w:rFonts w:ascii="Calibri" w:hAnsi="Calibri" w:eastAsia="微软雅黑"/>
          <w:b w:val="0"/>
          <w:i w:val="0"/>
          <w:sz w:val="21"/>
        </w:rPr>
        <w:t xml:space="preserve"> Zhenpeng Yao, Yanwei Lum, Andrew Johnston, 等. Machine learning for a sustainable energy future. *Nature Reviews Materials*, 2022. doi:10.1038/s41578-022-00490-5.</w:t>
      </w:r>
    </w:p>
    <w:p>
      <w:r>
        <w:rPr>
          <w:rFonts w:ascii="Calibri" w:hAnsi="Calibri" w:eastAsia="微软雅黑"/>
          <w:b w:val="0"/>
          <w:i w:val="0"/>
          <w:sz w:val="21"/>
        </w:rPr>
      </w:r>
      <w:r>
        <w:rPr>
          <w:rFonts w:ascii="Calibri" w:hAnsi="Calibri" w:eastAsia="微软雅黑"/>
          <w:b/>
          <w:i w:val="0"/>
          <w:color w:val="2980B9"/>
          <w:sz w:val="21"/>
        </w:rPr>
        <w:t>[14]</w:t>
      </w:r>
      <w:r>
        <w:rPr>
          <w:rFonts w:ascii="Calibri" w:hAnsi="Calibri" w:eastAsia="微软雅黑"/>
          <w:b w:val="0"/>
          <w:i w:val="0"/>
          <w:sz w:val="21"/>
        </w:rPr>
        <w:t xml:space="preserve"> Hamed Ghoddusi, Germán G. Creamer, Nima Rafizadeh. Machine learning in energy economics and finance: A review. *Energy Economics*, 2019. doi:10.1016/j.eneco.2019.05.006.</w:t>
      </w:r>
    </w:p>
    <w:p>
      <w:r>
        <w:rPr>
          <w:rFonts w:ascii="Calibri" w:hAnsi="Calibri" w:eastAsia="微软雅黑"/>
          <w:b w:val="0"/>
          <w:i w:val="0"/>
          <w:sz w:val="21"/>
        </w:rPr>
      </w:r>
      <w:r>
        <w:rPr>
          <w:rFonts w:ascii="Calibri" w:hAnsi="Calibri" w:eastAsia="微软雅黑"/>
          <w:b/>
          <w:i w:val="0"/>
          <w:color w:val="2980B9"/>
          <w:sz w:val="21"/>
        </w:rPr>
        <w:t>[15]</w:t>
      </w:r>
      <w:r>
        <w:rPr>
          <w:rFonts w:ascii="Calibri" w:hAnsi="Calibri" w:eastAsia="微软雅黑"/>
          <w:b w:val="0"/>
          <w:i w:val="0"/>
          <w:sz w:val="21"/>
        </w:rPr>
        <w:t xml:space="preserve"> Hugo Storm, Kathy Baylis, Thomas Heckelei. Machine learning in agricultural and applied economics. *European Review of Agricultural Economics*, 2019. doi:10.1093/erae/jbz033.</w:t>
      </w:r>
    </w:p>
    <w:p>
      <w:r>
        <w:rPr>
          <w:rFonts w:ascii="Calibri" w:hAnsi="Calibri" w:eastAsia="微软雅黑"/>
          <w:b w:val="0"/>
          <w:i w:val="0"/>
          <w:sz w:val="21"/>
        </w:rPr>
      </w:r>
      <w:r>
        <w:rPr>
          <w:rFonts w:ascii="Calibri" w:hAnsi="Calibri" w:eastAsia="微软雅黑"/>
          <w:b/>
          <w:i w:val="0"/>
          <w:color w:val="2980B9"/>
          <w:sz w:val="21"/>
        </w:rPr>
        <w:t>[21]</w:t>
      </w:r>
      <w:r>
        <w:rPr>
          <w:rFonts w:ascii="Calibri" w:hAnsi="Calibri" w:eastAsia="微软雅黑"/>
          <w:b w:val="0"/>
          <w:i w:val="0"/>
          <w:sz w:val="21"/>
        </w:rPr>
        <w:t xml:space="preserve"> Pierre Friedlingstein, Michael O’Sullivan, Matthew W. Jones, 等. Global Carbon Budget 2023. *Earth system science data*, 2023. doi:10.5194/essd-15-5301-2023.</w:t>
      </w:r>
    </w:p>
    <w:p>
      <w:r>
        <w:rPr>
          <w:rFonts w:ascii="Calibri" w:hAnsi="Calibri" w:eastAsia="微软雅黑"/>
          <w:b w:val="0"/>
          <w:i w:val="0"/>
          <w:sz w:val="21"/>
        </w:rPr>
      </w:r>
      <w:r>
        <w:rPr>
          <w:rFonts w:ascii="Calibri" w:hAnsi="Calibri" w:eastAsia="微软雅黑"/>
          <w:b/>
          <w:i w:val="0"/>
          <w:color w:val="2980B9"/>
          <w:sz w:val="21"/>
        </w:rPr>
        <w:t>[22]</w:t>
      </w:r>
      <w:r>
        <w:rPr>
          <w:rFonts w:ascii="Calibri" w:hAnsi="Calibri" w:eastAsia="微软雅黑"/>
          <w:b w:val="0"/>
          <w:i w:val="0"/>
          <w:sz w:val="21"/>
        </w:rPr>
        <w:t xml:space="preserve"> D. Frank, Markus Reichstein, Michael Bahn, 等. Effects of climate extremes on the terrestrial carbon cycle: concepts, processes and potential future impacts. *Global Change Biology*, 2015. doi:10.1111/gcb.12916.</w:t>
      </w:r>
    </w:p>
    <w:p>
      <w:r>
        <w:rPr>
          <w:rFonts w:ascii="Calibri" w:hAnsi="Calibri" w:eastAsia="微软雅黑"/>
          <w:b w:val="0"/>
          <w:i w:val="0"/>
          <w:sz w:val="21"/>
        </w:rPr>
      </w:r>
      <w:r>
        <w:rPr>
          <w:rFonts w:ascii="Calibri" w:hAnsi="Calibri" w:eastAsia="微软雅黑"/>
          <w:b/>
          <w:i w:val="0"/>
          <w:color w:val="2980B9"/>
          <w:sz w:val="21"/>
        </w:rPr>
        <w:t>[23]</w:t>
      </w:r>
      <w:r>
        <w:rPr>
          <w:rFonts w:ascii="Calibri" w:hAnsi="Calibri" w:eastAsia="微软雅黑"/>
          <w:b w:val="0"/>
          <w:i w:val="0"/>
          <w:sz w:val="21"/>
        </w:rPr>
        <w:t xml:space="preserve"> Jian Liu, Hongqiang Wang, Markus Antonietti. Graphitic carbon nitride “reloaded”: emerging applications beyond (photo)catalysis. *Chemical Society Reviews*, 2016. doi:10.1039/c5cs00767d.</w:t>
      </w:r>
    </w:p>
    <w:p>
      <w:r>
        <w:rPr>
          <w:rFonts w:ascii="Calibri" w:hAnsi="Calibri" w:eastAsia="微软雅黑"/>
          <w:b w:val="0"/>
          <w:i w:val="0"/>
          <w:sz w:val="21"/>
        </w:rPr>
      </w:r>
      <w:r>
        <w:rPr>
          <w:rFonts w:ascii="Calibri" w:hAnsi="Calibri" w:eastAsia="微软雅黑"/>
          <w:b/>
          <w:i w:val="0"/>
          <w:color w:val="2980B9"/>
          <w:sz w:val="21"/>
        </w:rPr>
        <w:t>[24]</w:t>
      </w:r>
      <w:r>
        <w:rPr>
          <w:rFonts w:ascii="Calibri" w:hAnsi="Calibri" w:eastAsia="微软雅黑"/>
          <w:b w:val="0"/>
          <w:i w:val="0"/>
          <w:sz w:val="21"/>
        </w:rPr>
        <w:t xml:space="preserve"> Philip W. Boyd, Hervé Claustre, Marina Lévy, 等. Multi-faceted particle pumps drive carbon sequestration in the ocean. *Nature*, 2019. doi:10.1038/s41586-019-1098-2.</w:t>
      </w:r>
    </w:p>
    <w:p>
      <w:r>
        <w:rPr>
          <w:rFonts w:ascii="Calibri" w:hAnsi="Calibri" w:eastAsia="微软雅黑"/>
          <w:b w:val="0"/>
          <w:i w:val="0"/>
          <w:sz w:val="21"/>
        </w:rPr>
      </w:r>
      <w:r>
        <w:rPr>
          <w:rFonts w:ascii="Calibri" w:hAnsi="Calibri" w:eastAsia="微软雅黑"/>
          <w:b/>
          <w:i w:val="0"/>
          <w:color w:val="2980B9"/>
          <w:sz w:val="21"/>
        </w:rPr>
        <w:t>[25]</w:t>
      </w:r>
      <w:r>
        <w:rPr>
          <w:rFonts w:ascii="Calibri" w:hAnsi="Calibri" w:eastAsia="微软雅黑"/>
          <w:b w:val="0"/>
          <w:i w:val="0"/>
          <w:sz w:val="21"/>
        </w:rPr>
        <w:t xml:space="preserve"> Lucas A. Cernusak, Nerea Ubierna, Klaus Winter, 等. Environmental and physiological determinants of carbon isotope discrimination in terrestrial plants. *New Phytologist*, 2013. doi:10.1111/nph.12423.</w:t>
      </w:r>
    </w:p>
    <w:p>
      <w:r>
        <w:rPr>
          <w:rFonts w:ascii="Calibri" w:hAnsi="Calibri" w:eastAsia="微软雅黑"/>
          <w:b w:val="0"/>
          <w:i w:val="0"/>
          <w:sz w:val="21"/>
        </w:rPr>
      </w:r>
      <w:r>
        <w:rPr>
          <w:rFonts w:ascii="Calibri" w:hAnsi="Calibri" w:eastAsia="微软雅黑"/>
          <w:b/>
          <w:i w:val="0"/>
          <w:color w:val="2980B9"/>
          <w:sz w:val="21"/>
        </w:rPr>
        <w:t>[37]</w:t>
      </w:r>
      <w:r>
        <w:rPr>
          <w:rFonts w:ascii="Calibri" w:hAnsi="Calibri" w:eastAsia="微软雅黑"/>
          <w:b w:val="0"/>
          <w:i w:val="0"/>
          <w:sz w:val="21"/>
        </w:rPr>
        <w:t xml:space="preserve"> Stith T. Gower. Patterns and Mechanisms of the Forest Carbon Cycle. *Annual Review of Environment and Resources*, 2003. doi:10.1146/annurev.energy.28.050302.105515.</w:t>
      </w:r>
    </w:p>
    <w:p>
      <w:r>
        <w:rPr>
          <w:rFonts w:ascii="Calibri" w:hAnsi="Calibri" w:eastAsia="微软雅黑"/>
          <w:b w:val="0"/>
          <w:i w:val="0"/>
          <w:sz w:val="21"/>
        </w:rPr>
      </w:r>
      <w:r>
        <w:rPr>
          <w:rFonts w:ascii="Calibri" w:hAnsi="Calibri" w:eastAsia="微软雅黑"/>
          <w:b/>
          <w:i w:val="0"/>
          <w:color w:val="2980B9"/>
          <w:sz w:val="21"/>
        </w:rPr>
        <w:t>[49]</w:t>
      </w:r>
      <w:r>
        <w:rPr>
          <w:rFonts w:ascii="Calibri" w:hAnsi="Calibri" w:eastAsia="微软雅黑"/>
          <w:b w:val="0"/>
          <w:i w:val="0"/>
          <w:sz w:val="21"/>
        </w:rPr>
        <w:t xml:space="preserve"> Laith Alzubaidi, Jinglan Zhang, Amjad J. Humaidi, 等. Review of deep learning: concepts, CNN architectures, challenges, applications, future directions. *Journal Of Big Data*, 2021. doi:10.1186/s40537-021-00444-8.</w:t>
      </w:r>
    </w:p>
    <w:p>
      <w:r>
        <w:rPr>
          <w:rFonts w:ascii="Calibri" w:hAnsi="Calibri" w:eastAsia="微软雅黑"/>
          <w:b w:val="0"/>
          <w:i w:val="0"/>
          <w:sz w:val="21"/>
        </w:rPr>
      </w:r>
      <w:r>
        <w:rPr>
          <w:rFonts w:ascii="Calibri" w:hAnsi="Calibri" w:eastAsia="微软雅黑"/>
          <w:b/>
          <w:i w:val="0"/>
          <w:color w:val="2980B9"/>
          <w:sz w:val="21"/>
        </w:rPr>
        <w:t>[50]</w:t>
      </w:r>
      <w:r>
        <w:rPr>
          <w:rFonts w:ascii="Calibri" w:hAnsi="Calibri" w:eastAsia="微软雅黑"/>
          <w:b w:val="0"/>
          <w:i w:val="0"/>
          <w:sz w:val="21"/>
        </w:rPr>
        <w:t xml:space="preserve"> Xiaofei Wang, Yiwen Han, Victor C. M. Leung, 等. Convergence of Edge Computing and Deep Learning: A Comprehensive Survey. *IEEE Communications Surveys &amp; Tutorials*, 2020. doi:10.1109/comst.2020.2970550.</w:t>
      </w:r>
    </w:p>
    <w:p>
      <w:r>
        <w:rPr>
          <w:rFonts w:ascii="Calibri" w:hAnsi="Calibri" w:eastAsia="微软雅黑"/>
          <w:b w:val="0"/>
          <w:i w:val="0"/>
          <w:sz w:val="21"/>
        </w:rPr>
      </w:r>
      <w:r>
        <w:rPr>
          <w:rFonts w:ascii="Calibri" w:hAnsi="Calibri" w:eastAsia="微软雅黑"/>
          <w:b/>
          <w:i w:val="0"/>
          <w:color w:val="2980B9"/>
          <w:sz w:val="21"/>
        </w:rPr>
        <w:t>[51]</w:t>
      </w:r>
      <w:r>
        <w:rPr>
          <w:rFonts w:ascii="Calibri" w:hAnsi="Calibri" w:eastAsia="微软雅黑"/>
          <w:b w:val="0"/>
          <w:i w:val="0"/>
          <w:sz w:val="21"/>
        </w:rPr>
        <w:t xml:space="preserve"> Sheraz Aslam, Herodotos Herodotou, Syed Muhammad Mohsin, 等. A survey on deep learning methods for power load and renewable energy forecasting in smart microgrids. *Renewable and Sustainable Energy Reviews*, 2021. doi:10.1016/j.rser.2021.110992.</w:t>
      </w:r>
    </w:p>
    <w:p>
      <w:r>
        <w:rPr>
          <w:rFonts w:ascii="Calibri" w:hAnsi="Calibri" w:eastAsia="微软雅黑"/>
          <w:b w:val="0"/>
          <w:i w:val="0"/>
          <w:sz w:val="21"/>
        </w:rPr>
      </w:r>
      <w:r>
        <w:rPr>
          <w:rFonts w:ascii="Calibri" w:hAnsi="Calibri" w:eastAsia="微软雅黑"/>
          <w:b/>
          <w:i w:val="0"/>
          <w:color w:val="2980B9"/>
          <w:sz w:val="21"/>
        </w:rPr>
        <w:t>[52]</w:t>
      </w:r>
      <w:r>
        <w:rPr>
          <w:rFonts w:ascii="Calibri" w:hAnsi="Calibri" w:eastAsia="微软雅黑"/>
          <w:b w:val="0"/>
          <w:i w:val="0"/>
          <w:sz w:val="21"/>
        </w:rPr>
        <w:t xml:space="preserve"> Nivethitha Somu, M. R. Gauthama Raman, Krithi Ramamritham. A deep learning framework for building energy consumption forecast. *Renewable and Sustainable Energy Reviews*, 2020. doi:10.1016/j.rser.2020.110591.</w:t>
      </w:r>
    </w:p>
    <w:p>
      <w:r>
        <w:rPr>
          <w:rFonts w:ascii="Calibri" w:hAnsi="Calibri" w:eastAsia="微软雅黑"/>
          <w:b w:val="0"/>
          <w:i w:val="0"/>
          <w:sz w:val="21"/>
        </w:rPr>
      </w:r>
      <w:r>
        <w:rPr>
          <w:rFonts w:ascii="Calibri" w:hAnsi="Calibri" w:eastAsia="微软雅黑"/>
          <w:b/>
          <w:i w:val="0"/>
          <w:color w:val="2980B9"/>
          <w:sz w:val="21"/>
        </w:rPr>
        <w:t>[53]</w:t>
      </w:r>
      <w:r>
        <w:rPr>
          <w:rFonts w:ascii="Calibri" w:hAnsi="Calibri" w:eastAsia="微软雅黑"/>
          <w:b w:val="0"/>
          <w:i w:val="0"/>
          <w:sz w:val="21"/>
        </w:rPr>
        <w:t xml:space="preserve"> Zhe Wang, Tianzhen Hong, Mary Ann Piette. Building thermal load prediction through shallow machine learning and deep learning. *Applied Energy*, 2020. doi:10.1016/j.apenergy.2020.114683.</w:t>
      </w:r>
    </w:p>
    <w:p>
      <w:r>
        <w:rPr>
          <w:rFonts w:ascii="Calibri" w:hAnsi="Calibri" w:eastAsia="微软雅黑"/>
          <w:b w:val="0"/>
          <w:i w:val="0"/>
          <w:sz w:val="21"/>
        </w:rPr>
      </w:r>
      <w:r>
        <w:rPr>
          <w:rFonts w:ascii="Calibri" w:hAnsi="Calibri" w:eastAsia="微软雅黑"/>
          <w:b/>
          <w:i w:val="0"/>
          <w:color w:val="2980B9"/>
          <w:sz w:val="21"/>
        </w:rPr>
        <w:t>[54]</w:t>
      </w:r>
      <w:r>
        <w:rPr>
          <w:rFonts w:ascii="Calibri" w:hAnsi="Calibri" w:eastAsia="微软雅黑"/>
          <w:b w:val="0"/>
          <w:i w:val="0"/>
          <w:sz w:val="21"/>
        </w:rPr>
        <w:t xml:space="preserve"> Jatin Bedi, Durga Toshniwal. Deep learning framework to forecast electricity demand. *Applied Energy*, 2019. doi:10.1016/j.apenergy.2019.01.113.</w:t>
      </w:r>
    </w:p>
    <w:p>
      <w:r>
        <w:rPr>
          <w:rFonts w:ascii="Calibri" w:hAnsi="Calibri" w:eastAsia="微软雅黑"/>
          <w:b w:val="0"/>
          <w:i w:val="0"/>
          <w:sz w:val="21"/>
        </w:rPr>
      </w:r>
      <w:r>
        <w:rPr>
          <w:rFonts w:ascii="Calibri" w:hAnsi="Calibri" w:eastAsia="微软雅黑"/>
          <w:b/>
          <w:i w:val="0"/>
          <w:color w:val="2980B9"/>
          <w:sz w:val="21"/>
        </w:rPr>
        <w:t>[55]</w:t>
      </w:r>
      <w:r>
        <w:rPr>
          <w:rFonts w:ascii="Calibri" w:hAnsi="Calibri" w:eastAsia="微软雅黑"/>
          <w:b w:val="0"/>
          <w:i w:val="0"/>
          <w:sz w:val="21"/>
        </w:rPr>
        <w:t xml:space="preserve"> Ümit Ağbulut. Forecasting of transportation-related energy demand and CO2 emissions in Turkey with different machine learning algorithms. *Sustainable Production and Consumption*, 2021. doi:10.1016/j.spc.2021.10.001.</w:t>
      </w:r>
    </w:p>
    <w:p>
      <w:r>
        <w:rPr>
          <w:rFonts w:ascii="Calibri" w:hAnsi="Calibri" w:eastAsia="微软雅黑"/>
          <w:b w:val="0"/>
          <w:i w:val="0"/>
          <w:sz w:val="21"/>
        </w:rPr>
      </w:r>
      <w:r>
        <w:rPr>
          <w:rFonts w:ascii="Calibri" w:hAnsi="Calibri" w:eastAsia="微软雅黑"/>
          <w:b/>
          <w:i w:val="0"/>
          <w:color w:val="2980B9"/>
          <w:sz w:val="21"/>
        </w:rPr>
        <w:t>[56]</w:t>
      </w:r>
      <w:r>
        <w:rPr>
          <w:rFonts w:ascii="Calibri" w:hAnsi="Calibri" w:eastAsia="微软雅黑"/>
          <w:b w:val="0"/>
          <w:i w:val="0"/>
          <w:sz w:val="21"/>
        </w:rPr>
        <w:t xml:space="preserve"> KiJeon Nam, Soonho Hwangbo, ChangKyoo Yoo. A deep learning-based forecasting model for renewable energy scenarios to guide sustainable energy policy: A case study of Korea. *Renewable and Sustainable Energy Reviews*, 2020. doi:10.1016/j.rser.2020.109725.</w:t>
      </w:r>
    </w:p>
    <w:p>
      <w:pPr>
        <w:pStyle w:val="Heading3"/>
      </w:pPr>
      <w:r>
        <w:rPr>
          <w:rFonts w:ascii="Calibri" w:hAnsi="Calibri" w:eastAsia="微软雅黑"/>
          <w:b/>
          <w:i w:val="0"/>
          <w:color w:val="1A1A2E"/>
          <w:sz w:val="20"/>
        </w:rPr>
        <w:t>A级（优秀）</w:t>
      </w:r>
    </w:p>
    <w:p>
      <w:r>
        <w:rPr>
          <w:rFonts w:ascii="Calibri" w:hAnsi="Calibri" w:eastAsia="微软雅黑"/>
          <w:b w:val="0"/>
          <w:i w:val="0"/>
          <w:sz w:val="21"/>
        </w:rPr>
      </w:r>
      <w:r>
        <w:rPr>
          <w:rFonts w:ascii="Calibri" w:hAnsi="Calibri" w:eastAsia="微软雅黑"/>
          <w:b/>
          <w:i w:val="0"/>
          <w:color w:val="2980B9"/>
          <w:sz w:val="21"/>
        </w:rPr>
        <w:t>[17]</w:t>
      </w:r>
      <w:r>
        <w:rPr>
          <w:rFonts w:ascii="Calibri" w:hAnsi="Calibri" w:eastAsia="微软雅黑"/>
          <w:b w:val="0"/>
          <w:i w:val="0"/>
          <w:sz w:val="21"/>
        </w:rPr>
        <w:t xml:space="preserve"> Jared Willard, Xiaowei Jia, Shaoming Xu, 等. Integrating Scientific Knowledge with Machine Learning for Engineering and Environmental Systems. *ACM Computing Surveys*, 2022. doi:10.1145/3514228.</w:t>
      </w:r>
    </w:p>
    <w:p>
      <w:r>
        <w:rPr>
          <w:rFonts w:ascii="Calibri" w:hAnsi="Calibri" w:eastAsia="微软雅黑"/>
          <w:b w:val="0"/>
          <w:i w:val="0"/>
          <w:sz w:val="21"/>
        </w:rPr>
      </w:r>
      <w:r>
        <w:rPr>
          <w:rFonts w:ascii="Calibri" w:hAnsi="Calibri" w:eastAsia="微软雅黑"/>
          <w:b/>
          <w:i w:val="0"/>
          <w:color w:val="2980B9"/>
          <w:sz w:val="21"/>
        </w:rPr>
        <w:t>[41]</w:t>
      </w:r>
      <w:r>
        <w:rPr>
          <w:rFonts w:ascii="Calibri" w:hAnsi="Calibri" w:eastAsia="微软雅黑"/>
          <w:b w:val="0"/>
          <w:i w:val="0"/>
          <w:sz w:val="21"/>
        </w:rPr>
        <w:t xml:space="preserve"> Ozan Nadirgil. Carbon price prediction using multiple hybrid machine learning models optimized by genetic algorithm. *Journal of Environmental Management*, 2023. doi:10.1016/j.jenvman.2023.118061.</w:t>
      </w:r>
    </w:p>
    <w:p>
      <w:r>
        <w:rPr>
          <w:rFonts w:ascii="Calibri" w:hAnsi="Calibri" w:eastAsia="微软雅黑"/>
          <w:b w:val="0"/>
          <w:i w:val="0"/>
          <w:sz w:val="21"/>
        </w:rPr>
      </w:r>
      <w:r>
        <w:rPr>
          <w:rFonts w:ascii="Calibri" w:hAnsi="Calibri" w:eastAsia="微软雅黑"/>
          <w:b/>
          <w:i w:val="0"/>
          <w:color w:val="2980B9"/>
          <w:sz w:val="21"/>
        </w:rPr>
        <w:t>[57]</w:t>
      </w:r>
      <w:r>
        <w:rPr>
          <w:rFonts w:ascii="Calibri" w:hAnsi="Calibri" w:eastAsia="微软雅黑"/>
          <w:b w:val="0"/>
          <w:i w:val="0"/>
          <w:sz w:val="21"/>
        </w:rPr>
        <w:t xml:space="preserve"> M. A. Ganaie, Minghui Hu, A. K. Malik, 等. Ensemble deep learning: A review. *Engineering Applications of Artificial Intelligence*, 2022. doi:10.1016/j.engappai.2022.105151.</w:t>
      </w:r>
    </w:p>
    <w:p>
      <w:r>
        <w:rPr>
          <w:rFonts w:ascii="Calibri" w:hAnsi="Calibri" w:eastAsia="微软雅黑"/>
          <w:b w:val="0"/>
          <w:i w:val="0"/>
          <w:sz w:val="21"/>
        </w:rPr>
      </w:r>
      <w:r>
        <w:rPr>
          <w:rFonts w:ascii="Calibri" w:hAnsi="Calibri" w:eastAsia="微软雅黑"/>
          <w:b/>
          <w:i w:val="0"/>
          <w:color w:val="2980B9"/>
          <w:sz w:val="21"/>
        </w:rPr>
        <w:t>[59]</w:t>
      </w:r>
      <w:r>
        <w:rPr>
          <w:rFonts w:ascii="Calibri" w:hAnsi="Calibri" w:eastAsia="微软雅黑"/>
          <w:b w:val="0"/>
          <w:i w:val="0"/>
          <w:sz w:val="21"/>
        </w:rPr>
        <w:t xml:space="preserve"> Heng Shi, Minghao Xu, Ran Li. Deep Learning for Household Load Forecasting—A Novel Pooling Deep RNN. *IEEE Transactions on Smart Grid*, 2017. doi:10.1109/tsg.2017.2686012.</w:t>
      </w:r>
    </w:p>
    <w:p>
      <w:r>
        <w:rPr>
          <w:rFonts w:ascii="Calibri" w:hAnsi="Calibri" w:eastAsia="微软雅黑"/>
          <w:b w:val="0"/>
          <w:i w:val="0"/>
          <w:sz w:val="21"/>
        </w:rPr>
      </w:r>
      <w:r>
        <w:rPr>
          <w:rFonts w:ascii="Calibri" w:hAnsi="Calibri" w:eastAsia="微软雅黑"/>
          <w:b/>
          <w:i w:val="0"/>
          <w:color w:val="2980B9"/>
          <w:sz w:val="21"/>
        </w:rPr>
        <w:t>[60]</w:t>
      </w:r>
      <w:r>
        <w:rPr>
          <w:rFonts w:ascii="Calibri" w:hAnsi="Calibri" w:eastAsia="微软雅黑"/>
          <w:b w:val="0"/>
          <w:i w:val="0"/>
          <w:sz w:val="21"/>
        </w:rPr>
        <w:t xml:space="preserve"> Xueheng Qiu, Ye Ren, Ponnuthurai Nagaratnam Suganthan, 等. Empirical Mode Decomposition based ensemble deep learning for load demand time series forecasting. *Applied Soft Computing*, 2017. doi:10.1016/j.asoc.2017.01.015.</w:t>
      </w:r>
    </w:p>
    <w:p>
      <w:r>
        <w:rPr>
          <w:rFonts w:ascii="Calibri" w:hAnsi="Calibri" w:eastAsia="微软雅黑"/>
          <w:b w:val="0"/>
          <w:i w:val="0"/>
          <w:sz w:val="21"/>
        </w:rPr>
      </w:r>
      <w:r>
        <w:rPr>
          <w:rFonts w:ascii="Calibri" w:hAnsi="Calibri" w:eastAsia="微软雅黑"/>
          <w:b/>
          <w:i w:val="0"/>
          <w:color w:val="2980B9"/>
          <w:sz w:val="21"/>
        </w:rPr>
        <w:t>[61]</w:t>
      </w:r>
      <w:r>
        <w:rPr>
          <w:rFonts w:ascii="Calibri" w:hAnsi="Calibri" w:eastAsia="微软雅黑"/>
          <w:b w:val="0"/>
          <w:i w:val="0"/>
          <w:sz w:val="21"/>
        </w:rPr>
        <w:t xml:space="preserve"> Pratima Kumari, Durga Toshniwal. Deep learning models for solar irradiance forecasting: A comprehensive review. *Journal of Cleaner Production*, 2021. doi:10.1016/j.jclepro.2021.128566.</w:t>
      </w:r>
    </w:p>
    <w:p>
      <w:r>
        <w:rPr>
          <w:rFonts w:ascii="Calibri" w:hAnsi="Calibri" w:eastAsia="微软雅黑"/>
          <w:b w:val="0"/>
          <w:i w:val="0"/>
          <w:sz w:val="21"/>
        </w:rPr>
      </w:r>
      <w:r>
        <w:rPr>
          <w:rFonts w:ascii="Calibri" w:hAnsi="Calibri" w:eastAsia="微软雅黑"/>
          <w:b/>
          <w:i w:val="0"/>
          <w:color w:val="2980B9"/>
          <w:sz w:val="21"/>
        </w:rPr>
        <w:t>[63]</w:t>
      </w:r>
      <w:r>
        <w:rPr>
          <w:rFonts w:ascii="Calibri" w:hAnsi="Calibri" w:eastAsia="微软雅黑"/>
          <w:b w:val="0"/>
          <w:i w:val="0"/>
          <w:sz w:val="21"/>
        </w:rPr>
        <w:t xml:space="preserve"> Mohamad Khalil, A. Stephen McGough, Zoya Pourmirza, 等. Machine Learning, Deep Learning and Statistical Analysis for forecasting building energy consumption — A systematic review. *Engineering Applications of Artificial Intelligence*, 2022. doi:10.1016/j.engappai.2022.105287.</w:t>
      </w:r>
    </w:p>
    <w:p>
      <w:pPr>
        <w:pStyle w:val="Heading3"/>
      </w:pPr>
      <w:r>
        <w:rPr>
          <w:rFonts w:ascii="Calibri" w:hAnsi="Calibri" w:eastAsia="微软雅黑"/>
          <w:b/>
          <w:i w:val="0"/>
          <w:color w:val="1A1A2E"/>
          <w:sz w:val="20"/>
        </w:rPr>
        <w:t>B级（良好）</w:t>
      </w:r>
    </w:p>
    <w:p>
      <w:r>
        <w:rPr>
          <w:rFonts w:ascii="Calibri" w:hAnsi="Calibri" w:eastAsia="微软雅黑"/>
          <w:b w:val="0"/>
          <w:i w:val="0"/>
          <w:sz w:val="21"/>
        </w:rPr>
      </w:r>
      <w:r>
        <w:rPr>
          <w:rFonts w:ascii="Calibri" w:hAnsi="Calibri" w:eastAsia="微软雅黑"/>
          <w:b/>
          <w:i w:val="0"/>
          <w:color w:val="2980B9"/>
          <w:sz w:val="21"/>
        </w:rPr>
        <w:t>[18]</w:t>
      </w:r>
      <w:r>
        <w:rPr>
          <w:rFonts w:ascii="Calibri" w:hAnsi="Calibri" w:eastAsia="微软雅黑"/>
          <w:b w:val="0"/>
          <w:i w:val="0"/>
          <w:sz w:val="21"/>
        </w:rPr>
        <w:t xml:space="preserve"> Spyros Makridakis, Evangelos Spiliotis, Vassilios Assimakopoulos. Statistical and Machine Learning forecasting methods: Concerns and ways forward. *PLoS ONE*, 2018. doi:10.1371/journal.pone.0194889.</w:t>
      </w:r>
    </w:p>
    <w:p>
      <w:r>
        <w:rPr>
          <w:rFonts w:ascii="Calibri" w:hAnsi="Calibri" w:eastAsia="微软雅黑"/>
          <w:b w:val="0"/>
          <w:i w:val="0"/>
          <w:sz w:val="21"/>
        </w:rPr>
      </w:r>
      <w:r>
        <w:rPr>
          <w:rFonts w:ascii="Calibri" w:hAnsi="Calibri" w:eastAsia="微软雅黑"/>
          <w:b/>
          <w:i w:val="0"/>
          <w:color w:val="2980B9"/>
          <w:sz w:val="21"/>
        </w:rPr>
        <w:t>[19]</w:t>
      </w:r>
      <w:r>
        <w:rPr>
          <w:rFonts w:ascii="Calibri" w:hAnsi="Calibri" w:eastAsia="微软雅黑"/>
          <w:b w:val="0"/>
          <w:i w:val="0"/>
          <w:sz w:val="21"/>
        </w:rPr>
        <w:t xml:space="preserve"> Kamran Shaukat, Suhuai Luo, Vijay Varadharajan, 等. A Survey on Machine Learning Techniques for Cyber Security in the Last Decade. *IEEE Access*, 2020. doi:10.1109/access.2020.3041951.</w:t>
      </w:r>
    </w:p>
    <w:p>
      <w:r>
        <w:rPr>
          <w:rFonts w:ascii="Calibri" w:hAnsi="Calibri" w:eastAsia="微软雅黑"/>
          <w:b w:val="0"/>
          <w:i w:val="0"/>
          <w:sz w:val="21"/>
        </w:rPr>
      </w:r>
      <w:r>
        <w:rPr>
          <w:rFonts w:ascii="Calibri" w:hAnsi="Calibri" w:eastAsia="微软雅黑"/>
          <w:b/>
          <w:i w:val="0"/>
          <w:color w:val="2980B9"/>
          <w:sz w:val="21"/>
        </w:rPr>
        <w:t>[66]</w:t>
      </w:r>
      <w:r>
        <w:rPr>
          <w:rFonts w:ascii="Calibri" w:hAnsi="Calibri" w:eastAsia="微软雅黑"/>
          <w:b w:val="0"/>
          <w:i w:val="0"/>
          <w:sz w:val="21"/>
        </w:rPr>
        <w:t xml:space="preserve"> Raniyah Wazirali, Elnaz Yaghoubi, Mohammed Shadi S. Abujazar, 等. State-of-the-art review on energy and load forecasting in microgrids using artificial neural networks, machine learning, and deep learning techniques. *Electric Power Systems Research*, 2023. doi:10.1016/j.epsr.2023.109792.</w:t>
      </w:r>
    </w:p>
    <w:p/>
    <w:p>
      <w:pPr>
        <w:jc w:val="center"/>
      </w:pPr>
      <w:r>
        <w:rPr>
          <w:rFonts w:ascii="Calibri" w:hAnsi="Calibri" w:eastAsia="微软雅黑"/>
          <w:b w:val="0"/>
          <w:i/>
          <w:color w:val="AAAAAA"/>
          <w:sz w:val="16"/>
        </w:rPr>
        <w:t>— Consensus Pipeline 生成 —</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