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i w:val="0"/>
          <w:color w:val="1A1A2E"/>
          <w:sz w:val="28"/>
        </w:rPr>
        <w:t>机器学习在能源经济学上的运用</w:t>
      </w:r>
    </w:p>
    <w:p>
      <w:pPr>
        <w:ind w:left="567"/>
      </w:pPr>
      <w:r>
        <w:rPr>
          <w:rFonts w:ascii="Calibri" w:hAnsi="Calibri" w:eastAsia="微软雅黑"/>
          <w:b w:val="0"/>
          <w:i/>
          <w:color w:val="555555"/>
          <w:sz w:val="21"/>
        </w:rPr>
        <w:t>学术动向综述 | Consensus Pipeline v5 | 2026年07月16日</w:t>
      </w:r>
    </w:p>
    <w:p>
      <w:pPr>
        <w:pStyle w:val="Heading2"/>
      </w:pPr>
      <w:r>
        <w:rPr>
          <w:rFonts w:ascii="Calibri" w:hAnsi="Calibri" w:eastAsia="微软雅黑"/>
          <w:b/>
          <w:i w:val="0"/>
          <w:color w:val="1A1A2E"/>
          <w:sz w:val="24"/>
        </w:rPr>
        <w:t>数据卡片</w:t>
      </w:r>
    </w:p>
    <w:tbl>
      <w:tblPr>
        <w:tblStyle w:val="LightGrid-Accent1"/>
        <w:tblW w:type="auto" w:w="0"/>
        <w:jc w:val="center"/>
        <w:tblLook w:firstColumn="1" w:firstRow="1" w:lastColumn="0" w:lastRow="0" w:noHBand="0" w:noVBand="1" w:val="04A0"/>
      </w:tblPr>
      <w:tblGrid>
        <w:gridCol w:w="4533"/>
        <w:gridCol w:w="4533"/>
      </w:tblGrid>
      <w:tr>
        <w:tc>
          <w:tcPr>
            <w:tcW w:type="dxa" w:w="4533"/>
          </w:tcPr>
          <w:p>
            <w:r/>
            <w:r>
              <w:rPr>
                <w:rFonts w:ascii="Calibri" w:hAnsi="Calibri" w:eastAsia="微软雅黑"/>
                <w:b/>
                <w:i w:val="0"/>
                <w:color w:val="FFFFFF"/>
                <w:sz w:val="19"/>
              </w:rPr>
              <w:t>指标</w:t>
            </w:r>
          </w:p>
        </w:tc>
        <w:tc>
          <w:tcPr>
            <w:tcW w:type="dxa" w:w="4533"/>
          </w:tcPr>
          <w:p>
            <w:r/>
            <w:r>
              <w:rPr>
                <w:rFonts w:ascii="Calibri" w:hAnsi="Calibri" w:eastAsia="微软雅黑"/>
                <w:b/>
                <w:i w:val="0"/>
                <w:color w:val="FFFFFF"/>
                <w:sz w:val="19"/>
              </w:rPr>
              <w:t>值</w:t>
            </w:r>
          </w:p>
        </w:tc>
      </w:tr>
      <w:tr>
        <w:tc>
          <w:tcPr>
            <w:tcW w:type="dxa" w:w="4533"/>
          </w:tcPr>
          <w:p>
            <w:r/>
            <w:r>
              <w:rPr>
                <w:rFonts w:ascii="Calibri" w:hAnsi="Calibri" w:eastAsia="微软雅黑"/>
                <w:b w:val="0"/>
                <w:i w:val="0"/>
                <w:sz w:val="18"/>
              </w:rPr>
              <w:t>检索论文数</w:t>
            </w:r>
          </w:p>
        </w:tc>
        <w:tc>
          <w:tcPr>
            <w:tcW w:type="dxa" w:w="4533"/>
          </w:tcPr>
          <w:p>
            <w:r/>
            <w:r>
              <w:rPr>
                <w:rFonts w:ascii="Calibri" w:hAnsi="Calibri" w:eastAsia="微软雅黑"/>
                <w:b w:val="0"/>
                <w:i w:val="0"/>
                <w:sz w:val="18"/>
              </w:rPr>
              <w:t>67</w:t>
            </w:r>
          </w:p>
        </w:tc>
      </w:tr>
      <w:tr>
        <w:tc>
          <w:tcPr>
            <w:tcW w:type="dxa" w:w="4533"/>
          </w:tcPr>
          <w:p>
            <w:r/>
            <w:r>
              <w:rPr>
                <w:rFonts w:ascii="Calibri" w:hAnsi="Calibri" w:eastAsia="微软雅黑"/>
                <w:b w:val="0"/>
                <w:i w:val="0"/>
                <w:sz w:val="18"/>
              </w:rPr>
              <w:t>S级</w:t>
            </w:r>
          </w:p>
        </w:tc>
        <w:tc>
          <w:tcPr>
            <w:tcW w:type="dxa" w:w="4533"/>
          </w:tcPr>
          <w:p>
            <w:r/>
            <w:r>
              <w:rPr>
                <w:rFonts w:ascii="Calibri" w:hAnsi="Calibri" w:eastAsia="微软雅黑"/>
                <w:b w:val="0"/>
                <w:i w:val="0"/>
                <w:sz w:val="18"/>
              </w:rPr>
              <w:t>41</w:t>
            </w:r>
          </w:p>
        </w:tc>
      </w:tr>
      <w:tr>
        <w:tc>
          <w:tcPr>
            <w:tcW w:type="dxa" w:w="4533"/>
          </w:tcPr>
          <w:p>
            <w:r/>
            <w:r>
              <w:rPr>
                <w:rFonts w:ascii="Calibri" w:hAnsi="Calibri" w:eastAsia="微软雅黑"/>
                <w:b w:val="0"/>
                <w:i w:val="0"/>
                <w:sz w:val="18"/>
              </w:rPr>
              <w:t>A级</w:t>
            </w:r>
          </w:p>
        </w:tc>
        <w:tc>
          <w:tcPr>
            <w:tcW w:type="dxa" w:w="4533"/>
          </w:tcPr>
          <w:p>
            <w:r/>
            <w:r>
              <w:rPr>
                <w:rFonts w:ascii="Calibri" w:hAnsi="Calibri" w:eastAsia="微软雅黑"/>
                <w:b w:val="0"/>
                <w:i w:val="0"/>
                <w:sz w:val="18"/>
              </w:rPr>
              <w:t>13</w:t>
            </w:r>
          </w:p>
        </w:tc>
      </w:tr>
      <w:tr>
        <w:tc>
          <w:tcPr>
            <w:tcW w:type="dxa" w:w="4533"/>
          </w:tcPr>
          <w:p>
            <w:r/>
            <w:r>
              <w:rPr>
                <w:rFonts w:ascii="Calibri" w:hAnsi="Calibri" w:eastAsia="微软雅黑"/>
                <w:b w:val="0"/>
                <w:i w:val="0"/>
                <w:sz w:val="18"/>
              </w:rPr>
              <w:t>B级</w:t>
            </w:r>
          </w:p>
        </w:tc>
        <w:tc>
          <w:tcPr>
            <w:tcW w:type="dxa" w:w="4533"/>
          </w:tcPr>
          <w:p>
            <w:r/>
            <w:r>
              <w:rPr>
                <w:rFonts w:ascii="Calibri" w:hAnsi="Calibri" w:eastAsia="微软雅黑"/>
                <w:b w:val="0"/>
                <w:i w:val="0"/>
                <w:sz w:val="18"/>
              </w:rPr>
              <w:t>13</w:t>
            </w:r>
          </w:p>
        </w:tc>
      </w:tr>
      <w:tr>
        <w:tc>
          <w:tcPr>
            <w:tcW w:type="dxa" w:w="4533"/>
          </w:tcPr>
          <w:p>
            <w:r/>
            <w:r>
              <w:rPr>
                <w:rFonts w:ascii="Calibri" w:hAnsi="Calibri" w:eastAsia="微软雅黑"/>
                <w:b w:val="0"/>
                <w:i w:val="0"/>
                <w:sz w:val="18"/>
              </w:rPr>
              <w:t>时间跨度</w:t>
            </w:r>
          </w:p>
        </w:tc>
        <w:tc>
          <w:tcPr>
            <w:tcW w:type="dxa" w:w="4533"/>
          </w:tcPr>
          <w:p>
            <w:r/>
            <w:r>
              <w:rPr>
                <w:rFonts w:ascii="Calibri" w:hAnsi="Calibri" w:eastAsia="微软雅黑"/>
                <w:b w:val="0"/>
                <w:i w:val="0"/>
                <w:sz w:val="18"/>
              </w:rPr>
              <w:t>2003-2023</w:t>
            </w:r>
          </w:p>
        </w:tc>
      </w:tr>
      <w:tr>
        <w:tc>
          <w:tcPr>
            <w:tcW w:type="dxa" w:w="4533"/>
          </w:tcPr>
          <w:p>
            <w:r/>
            <w:r>
              <w:rPr>
                <w:rFonts w:ascii="Calibri" w:hAnsi="Calibri" w:eastAsia="微软雅黑"/>
                <w:b w:val="0"/>
                <w:i w:val="0"/>
                <w:sz w:val="18"/>
              </w:rPr>
              <w:t>方法类别数</w:t>
            </w:r>
          </w:p>
        </w:tc>
        <w:tc>
          <w:tcPr>
            <w:tcW w:type="dxa" w:w="4533"/>
          </w:tcPr>
          <w:p>
            <w:r/>
            <w:r>
              <w:rPr>
                <w:rFonts w:ascii="Calibri" w:hAnsi="Calibri" w:eastAsia="微软雅黑"/>
                <w:b w:val="0"/>
                <w:i w:val="0"/>
                <w:sz w:val="18"/>
              </w:rPr>
              <w:t>10</w:t>
            </w:r>
          </w:p>
        </w:tc>
      </w:tr>
      <w:tr>
        <w:tc>
          <w:tcPr>
            <w:tcW w:type="dxa" w:w="4533"/>
          </w:tcPr>
          <w:p>
            <w:r/>
            <w:r>
              <w:rPr>
                <w:rFonts w:ascii="Calibri" w:hAnsi="Calibri" w:eastAsia="微软雅黑"/>
                <w:b w:val="0"/>
                <w:i w:val="0"/>
                <w:sz w:val="18"/>
              </w:rPr>
              <w:t>预印本数</w:t>
            </w:r>
          </w:p>
        </w:tc>
        <w:tc>
          <w:tcPr>
            <w:tcW w:type="dxa" w:w="4533"/>
          </w:tcPr>
          <w:p>
            <w:r/>
            <w:r>
              <w:rPr>
                <w:rFonts w:ascii="Calibri" w:hAnsi="Calibri" w:eastAsia="微软雅黑"/>
                <w:b w:val="0"/>
                <w:i w:val="0"/>
                <w:sz w:val="18"/>
              </w:rPr>
              <w:t>9</w:t>
            </w:r>
          </w:p>
        </w:tc>
      </w:tr>
    </w:tbl>
    <w:p/>
    <w:p>
      <w:pPr>
        <w:pStyle w:val="Heading2"/>
      </w:pPr>
      <w:r>
        <w:rPr>
          <w:rFonts w:ascii="Calibri" w:hAnsi="Calibri" w:eastAsia="微软雅黑"/>
          <w:b/>
          <w:i w:val="0"/>
          <w:color w:val="1A1A2E"/>
          <w:sz w:val="24"/>
        </w:rPr>
        <w:t>一、研究概况与发展脉络</w:t>
      </w:r>
    </w:p>
    <w:p>
      <w:r>
        <w:rPr>
          <w:rFonts w:ascii="Calibri" w:hAnsi="Calibri" w:eastAsia="微软雅黑"/>
          <w:b w:val="0"/>
          <w:i w:val="0"/>
          <w:sz w:val="21"/>
        </w:rPr>
        <w:t>机器学习在能源经济学领域的应用经历了从萌芽到繁荣的二十余年发展历程。2003年至2010年，该领域处于早期探索阶段，彼时机器学习方法在能源问题中的应用极为有限，以Gower(2003)对森林碳循环模式的研究为参见</w:t>
      </w:r>
      <w:r>
        <w:rPr>
          <w:rFonts w:ascii="Calibri" w:hAnsi="Calibri" w:eastAsia="微软雅黑"/>
          <w:b/>
          <w:i w:val="0"/>
          <w:color w:val="2980B9"/>
          <w:sz w:val="21"/>
        </w:rPr>
        <w:t>[37]</w:t>
      </w:r>
      <w:r>
        <w:rPr>
          <w:rFonts w:ascii="Calibri" w:hAnsi="Calibri" w:eastAsia="微软雅黑"/>
          <w:b w:val="0"/>
          <w:i w:val="0"/>
          <w:sz w:val="21"/>
        </w:rPr>
        <w:t>。文献检索部“多源广度派”指出，这一阶段的论文数量稀少且主题分散，尚未形成聚焦的研究方向，仅有零星探索试图将统计学习理论引入能源价格预测和负荷估计。</w:t>
      </w:r>
    </w:p>
    <w:p>
      <w:r>
        <w:rPr>
          <w:rFonts w:ascii="Calibri" w:hAnsi="Calibri" w:eastAsia="微软雅黑"/>
          <w:b w:val="0"/>
          <w:i w:val="0"/>
          <w:sz w:val="21"/>
        </w:rPr>
        <w:t>2011年至2017年是方法论奠基期。参见</w:t>
      </w:r>
      <w:r>
        <w:rPr>
          <w:rFonts w:ascii="Calibri" w:hAnsi="Calibri" w:eastAsia="微软雅黑"/>
          <w:b/>
          <w:i w:val="0"/>
          <w:color w:val="2980B9"/>
          <w:sz w:val="21"/>
        </w:rPr>
        <w:t>[9]</w:t>
      </w:r>
      <w:r>
        <w:rPr>
          <w:rFonts w:ascii="Calibri" w:hAnsi="Calibri" w:eastAsia="微软雅黑"/>
          <w:b w:val="0"/>
          <w:i w:val="0"/>
          <w:sz w:val="21"/>
        </w:rPr>
        <w:t>，为后续能源系统优化控制奠定了算法基础。Ghoddusi等(2019)</w:t>
      </w:r>
      <w:r>
        <w:rPr>
          <w:rFonts w:ascii="Calibri" w:hAnsi="Calibri" w:eastAsia="微软雅黑"/>
          <w:b/>
          <w:i w:val="0"/>
          <w:color w:val="2980B9"/>
          <w:sz w:val="21"/>
        </w:rPr>
        <w:t>[14]</w:t>
      </w:r>
      <w:r>
        <w:rPr>
          <w:rFonts w:ascii="Calibri" w:hAnsi="Calibri" w:eastAsia="微软雅黑"/>
          <w:b w:val="0"/>
          <w:i w:val="0"/>
          <w:sz w:val="21"/>
        </w:rPr>
        <w:t>在Energy Economics上发表的专题综述《Machine learning in energy economics and finance: A review》，系统梳理了机器学习在能源价格预测、需求估计和风险管理等领域的应用格局，该论文被引用超过431次，标志着机器学习正式进入能源经济学研究的核心视域。参见</w:t>
      </w:r>
      <w:r>
        <w:rPr>
          <w:rFonts w:ascii="Calibri" w:hAnsi="Calibri" w:eastAsia="微软雅黑"/>
          <w:b/>
          <w:i w:val="0"/>
          <w:color w:val="2980B9"/>
          <w:sz w:val="21"/>
        </w:rPr>
        <w:t>[12]</w:t>
      </w:r>
      <w:r>
        <w:rPr>
          <w:rFonts w:ascii="Calibri" w:hAnsi="Calibri" w:eastAsia="微软雅黑"/>
          <w:b w:val="0"/>
          <w:i w:val="0"/>
          <w:sz w:val="21"/>
        </w:rPr>
        <w:t>统ARIMA模型平均提升了15-30%。参见</w:t>
      </w:r>
      <w:r>
        <w:rPr>
          <w:rFonts w:ascii="Calibri" w:hAnsi="Calibri" w:eastAsia="微软雅黑"/>
          <w:b/>
          <w:i w:val="0"/>
          <w:color w:val="2980B9"/>
          <w:sz w:val="21"/>
        </w:rPr>
        <w:t>[13]</w:t>
      </w:r>
      <w:r>
        <w:rPr>
          <w:rFonts w:ascii="Calibri" w:hAnsi="Calibri" w:eastAsia="微软雅黑"/>
          <w:b w:val="0"/>
          <w:i w:val="0"/>
          <w:sz w:val="21"/>
        </w:rPr>
        <w:t>。</w:t>
      </w:r>
    </w:p>
    <w:p>
      <w:r>
        <w:rPr>
          <w:rFonts w:ascii="Calibri" w:hAnsi="Calibri" w:eastAsia="微软雅黑"/>
          <w:b w:val="0"/>
          <w:i w:val="0"/>
          <w:sz w:val="21"/>
        </w:rPr>
        <w:t>2018年至2023年呈现爆发式增长。年份分布数据清晰地展示了这一趋势：2018年论文数量达到7篇，2019年增至9篇，2020年8篇，2021年飙升至11篇。参见</w:t>
      </w:r>
      <w:r>
        <w:rPr>
          <w:rFonts w:ascii="Calibri" w:hAnsi="Calibri" w:eastAsia="微软雅黑"/>
          <w:b/>
          <w:i w:val="0"/>
          <w:color w:val="2980B9"/>
          <w:sz w:val="21"/>
        </w:rPr>
        <w:t>[51]</w:t>
      </w:r>
      <w:r>
        <w:rPr>
          <w:rFonts w:ascii="Calibri" w:hAnsi="Calibri" w:eastAsia="微软雅黑"/>
          <w:b w:val="0"/>
          <w:i w:val="0"/>
          <w:sz w:val="21"/>
        </w:rPr>
        <w:t>低了15-22%。参见</w:t>
      </w:r>
      <w:r>
        <w:rPr>
          <w:rFonts w:ascii="Calibri" w:hAnsi="Calibri" w:eastAsia="微软雅黑"/>
          <w:b/>
          <w:i w:val="0"/>
          <w:color w:val="2980B9"/>
          <w:sz w:val="21"/>
        </w:rPr>
        <w:t>[52]</w:t>
      </w:r>
      <w:r>
        <w:rPr>
          <w:rFonts w:ascii="Calibri" w:hAnsi="Calibri" w:eastAsia="微软雅黑"/>
          <w:b w:val="0"/>
          <w:i w:val="0"/>
          <w:sz w:val="21"/>
        </w:rPr>
        <w:t>。参见</w:t>
      </w:r>
      <w:r>
        <w:rPr>
          <w:rFonts w:ascii="Calibri" w:hAnsi="Calibri" w:eastAsia="微软雅黑"/>
          <w:b/>
          <w:i w:val="0"/>
          <w:color w:val="2980B9"/>
          <w:sz w:val="21"/>
        </w:rPr>
        <w:t>[54]</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辩论焦点1</w:t>
      </w:r>
      <w:r>
        <w:rPr>
          <w:rFonts w:ascii="Calibri" w:hAnsi="Calibri" w:eastAsia="微软雅黑"/>
          <w:b w:val="0"/>
          <w:i w:val="0"/>
          <w:sz w:val="21"/>
        </w:rPr>
        <w:t>：关于该领域的发展阶段划分，文献检索部“多源广度派”强调2018年出现的爆发应归因于深度学习方法论的成熟和数据可得性的提升，认为“这是深度学习技术扩散与能源数据开放的双重结果”。但元数据精查组“DOI溯源派”反驳指出，论文列表中存在大量2006-2008年的“过时论文”，这些早期文献通过高被引权重保留了其在引用网络中的影响力，使得整体时效性被高估，“真正的突破性进展仅发生在2020年后Transformer等新架构引入之时”。交叉辩论结论：2018-2020年是方法论“量变”阶段，2021年后随因果推断、联邦学习等新范式引入进入“质变”阶段，但早期奠基性论文的持续引用表明该领域具有明显的路径依赖性。</w:t>
      </w:r>
    </w:p>
    <w:p>
      <w:pPr>
        <w:jc w:val="center"/>
      </w:pPr>
      <w:r>
        <w:drawing>
          <wp:inline xmlns:a="http://schemas.openxmlformats.org/drawingml/2006/main" xmlns:pic="http://schemas.openxmlformats.org/drawingml/2006/picture">
            <wp:extent cx="5029200" cy="2463766"/>
            <wp:docPr id="1" name="Picture 1"/>
            <wp:cNvGraphicFramePr>
              <a:graphicFrameLocks noChangeAspect="1"/>
            </wp:cNvGraphicFramePr>
            <a:graphic>
              <a:graphicData uri="http://schemas.openxmlformats.org/drawingml/2006/picture">
                <pic:pic>
                  <pic:nvPicPr>
                    <pic:cNvPr id="0" name="year_trend.png"/>
                    <pic:cNvPicPr/>
                  </pic:nvPicPr>
                  <pic:blipFill>
                    <a:blip r:embed="rId9"/>
                    <a:stretch>
                      <a:fillRect/>
                    </a:stretch>
                  </pic:blipFill>
                  <pic:spPr>
                    <a:xfrm>
                      <a:off x="0" y="0"/>
                      <a:ext cx="5029200" cy="2463766"/>
                    </a:xfrm>
                    <a:prstGeom prst="rect"/>
                  </pic:spPr>
                </pic:pic>
              </a:graphicData>
            </a:graphic>
          </wp:inline>
        </w:drawing>
      </w:r>
    </w:p>
    <w:p>
      <w:r>
        <w:rPr>
          <w:rFonts w:ascii="Calibri" w:hAnsi="Calibri" w:eastAsia="微软雅黑"/>
          <w:b w:val="0"/>
          <w:i w:val="0"/>
          <w:sz w:val="21"/>
        </w:rPr>
        <w:t>*图1：年度发文量趋势（红色柱体为高活跃年份）*</w:t>
      </w:r>
    </w:p>
    <w:p>
      <w:pPr>
        <w:jc w:val="center"/>
      </w:pPr>
      <w:r>
        <w:drawing>
          <wp:inline xmlns:a="http://schemas.openxmlformats.org/drawingml/2006/main" xmlns:pic="http://schemas.openxmlformats.org/drawingml/2006/picture">
            <wp:extent cx="5029200" cy="5242704"/>
            <wp:docPr id="2" name="Picture 2"/>
            <wp:cNvGraphicFramePr>
              <a:graphicFrameLocks noChangeAspect="1"/>
            </wp:cNvGraphicFramePr>
            <a:graphic>
              <a:graphicData uri="http://schemas.openxmlformats.org/drawingml/2006/picture">
                <pic:pic>
                  <pic:nvPicPr>
                    <pic:cNvPr id="0" name="method_distribution.png"/>
                    <pic:cNvPicPr/>
                  </pic:nvPicPr>
                  <pic:blipFill>
                    <a:blip r:embed="rId10"/>
                    <a:stretch>
                      <a:fillRect/>
                    </a:stretch>
                  </pic:blipFill>
                  <pic:spPr>
                    <a:xfrm>
                      <a:off x="0" y="0"/>
                      <a:ext cx="5029200" cy="5242704"/>
                    </a:xfrm>
                    <a:prstGeom prst="rect"/>
                  </pic:spPr>
                </pic:pic>
              </a:graphicData>
            </a:graphic>
          </wp:inline>
        </w:drawing>
      </w:r>
    </w:p>
    <w:p>
      <w:r>
        <w:rPr>
          <w:rFonts w:ascii="Calibri" w:hAnsi="Calibri" w:eastAsia="微软雅黑"/>
          <w:b w:val="0"/>
          <w:i w:val="0"/>
          <w:sz w:val="21"/>
        </w:rPr>
        <w:t>*图2：方法论占比分布*</w:t>
      </w:r>
    </w:p>
    <w:p>
      <w:pPr>
        <w:jc w:val="center"/>
      </w:pPr>
      <w:r>
        <w:drawing>
          <wp:inline xmlns:a="http://schemas.openxmlformats.org/drawingml/2006/main" xmlns:pic="http://schemas.openxmlformats.org/drawingml/2006/picture">
            <wp:extent cx="5029200" cy="3565187"/>
            <wp:docPr id="3" name="Picture 3"/>
            <wp:cNvGraphicFramePr>
              <a:graphicFrameLocks noChangeAspect="1"/>
            </wp:cNvGraphicFramePr>
            <a:graphic>
              <a:graphicData uri="http://schemas.openxmlformats.org/drawingml/2006/picture">
                <pic:pic>
                  <pic:nvPicPr>
                    <pic:cNvPr id="0" name="grade_distribution.png"/>
                    <pic:cNvPicPr/>
                  </pic:nvPicPr>
                  <pic:blipFill>
                    <a:blip r:embed="rId11"/>
                    <a:stretch>
                      <a:fillRect/>
                    </a:stretch>
                  </pic:blipFill>
                  <pic:spPr>
                    <a:xfrm>
                      <a:off x="0" y="0"/>
                      <a:ext cx="5029200" cy="3565187"/>
                    </a:xfrm>
                    <a:prstGeom prst="rect"/>
                  </pic:spPr>
                </pic:pic>
              </a:graphicData>
            </a:graphic>
          </wp:inline>
        </w:drawing>
      </w:r>
    </w:p>
    <w:p>
      <w:r>
        <w:rPr>
          <w:rFonts w:ascii="Calibri" w:hAnsi="Calibri" w:eastAsia="微软雅黑"/>
          <w:b w:val="0"/>
          <w:i w:val="0"/>
          <w:sz w:val="21"/>
        </w:rPr>
        <w:t>*图3：期刊等级分布（S级=顶刊，A级=优秀，B级=良好）*</w:t>
      </w:r>
    </w:p>
    <w:p>
      <w:pPr>
        <w:pStyle w:val="Heading2"/>
      </w:pPr>
      <w:r>
        <w:rPr>
          <w:rFonts w:ascii="Calibri" w:hAnsi="Calibri" w:eastAsia="微软雅黑"/>
          <w:b/>
          <w:i w:val="0"/>
          <w:color w:val="1A1A2E"/>
          <w:sz w:val="24"/>
        </w:rPr>
        <w:t>二、方法论演进与量化对比</w:t>
      </w:r>
    </w:p>
    <w:p>
      <w:pPr>
        <w:pStyle w:val="Heading3"/>
      </w:pPr>
      <w:r>
        <w:rPr>
          <w:rFonts w:ascii="Calibri" w:hAnsi="Calibri" w:eastAsia="微软雅黑"/>
          <w:b/>
          <w:i w:val="0"/>
          <w:color w:val="1A1A2E"/>
          <w:sz w:val="20"/>
        </w:rPr>
        <w:t>2.1 时间线演进</w:t>
      </w:r>
    </w:p>
    <w:p>
      <w:r>
        <w:rPr>
          <w:rFonts w:ascii="Calibri" w:hAnsi="Calibri" w:eastAsia="微软雅黑"/>
          <w:b w:val="0"/>
          <w:i w:val="0"/>
          <w:sz w:val="21"/>
        </w:rPr>
      </w:r>
      <w:r>
        <w:rPr>
          <w:rFonts w:ascii="Calibri" w:hAnsi="Calibri" w:eastAsia="微软雅黑"/>
          <w:b/>
          <w:i w:val="0"/>
          <w:sz w:val="21"/>
        </w:rPr>
        <w:t>2003-2010（统计方法主导期）</w:t>
      </w:r>
      <w:r>
        <w:rPr>
          <w:rFonts w:ascii="Calibri" w:hAnsi="Calibri" w:eastAsia="微软雅黑"/>
          <w:b w:val="0"/>
          <w:i w:val="0"/>
          <w:sz w:val="21"/>
        </w:rPr>
        <w:t>：这一阶段以传统时间序列模型为主，如ARIMA、GARCH及其变体。参见</w:t>
      </w:r>
      <w:r>
        <w:rPr>
          <w:rFonts w:ascii="Calibri" w:hAnsi="Calibri" w:eastAsia="微软雅黑"/>
          <w:b/>
          <w:i w:val="0"/>
          <w:color w:val="2980B9"/>
          <w:sz w:val="21"/>
        </w:rPr>
        <w:t>[37]</w:t>
      </w:r>
      <w:r>
        <w:rPr>
          <w:rFonts w:ascii="Calibri" w:hAnsi="Calibri" w:eastAsia="微软雅黑"/>
          <w:b w:val="0"/>
          <w:i w:val="0"/>
          <w:sz w:val="21"/>
        </w:rPr>
        <w:t>。能源经济学研究主要采用线性回归和计量经济模型，机器学习方法尚未形成系统化应用。</w:t>
      </w:r>
    </w:p>
    <w:p>
      <w:r>
        <w:rPr>
          <w:rFonts w:ascii="Calibri" w:hAnsi="Calibri" w:eastAsia="微软雅黑"/>
          <w:b w:val="0"/>
          <w:i w:val="0"/>
          <w:sz w:val="21"/>
        </w:rPr>
      </w:r>
      <w:r>
        <w:rPr>
          <w:rFonts w:ascii="Calibri" w:hAnsi="Calibri" w:eastAsia="微软雅黑"/>
          <w:b/>
          <w:i w:val="0"/>
          <w:sz w:val="21"/>
        </w:rPr>
        <w:t>2011-2017（深度学习破冰期）</w:t>
      </w:r>
      <w:r>
        <w:rPr>
          <w:rFonts w:ascii="Calibri" w:hAnsi="Calibri" w:eastAsia="微软雅黑"/>
          <w:b w:val="0"/>
          <w:i w:val="0"/>
          <w:sz w:val="21"/>
        </w:rPr>
        <w:t>：Shi等(2017)</w:t>
      </w:r>
      <w:r>
        <w:rPr>
          <w:rFonts w:ascii="Calibri" w:hAnsi="Calibri" w:eastAsia="微软雅黑"/>
          <w:b/>
          <w:i w:val="0"/>
          <w:color w:val="2980B9"/>
          <w:sz w:val="21"/>
        </w:rPr>
        <w:t>[59]</w:t>
      </w:r>
      <w:r>
        <w:rPr>
          <w:rFonts w:ascii="Calibri" w:hAnsi="Calibri" w:eastAsia="微软雅黑"/>
          <w:b w:val="0"/>
          <w:i w:val="0"/>
          <w:sz w:val="21"/>
        </w:rPr>
        <w:t>提出的Pooling深度RNN方法在家庭负荷预测任务上实现MAPE=16.8%，这是深度学习在能源预测中较早的成功尝试。参见</w:t>
      </w:r>
      <w:r>
        <w:rPr>
          <w:rFonts w:ascii="Calibri" w:hAnsi="Calibri" w:eastAsia="微软雅黑"/>
          <w:b/>
          <w:i w:val="0"/>
          <w:color w:val="2980B9"/>
          <w:sz w:val="21"/>
        </w:rPr>
        <w:t>[60]</w:t>
      </w:r>
      <w:r>
        <w:rPr>
          <w:rFonts w:ascii="Calibri" w:hAnsi="Calibri" w:eastAsia="微软雅黑"/>
          <w:b w:val="0"/>
          <w:i w:val="0"/>
          <w:sz w:val="21"/>
        </w:rPr>
        <w:t>。参见</w:t>
      </w:r>
      <w:r>
        <w:rPr>
          <w:rFonts w:ascii="Calibri" w:hAnsi="Calibri" w:eastAsia="微软雅黑"/>
          <w:b/>
          <w:i w:val="0"/>
          <w:color w:val="2980B9"/>
          <w:sz w:val="21"/>
        </w:rPr>
        <w:t>[67]</w:t>
      </w:r>
      <w:r>
        <w:rPr>
          <w:rFonts w:ascii="Calibri" w:hAnsi="Calibri" w:eastAsia="微软雅黑"/>
          <w:b w:val="0"/>
          <w:i w:val="0"/>
          <w:sz w:val="21"/>
        </w:rPr>
        <w:t>。这一阶段的标志性特征是“分解-集成”策略成为主流，EMD、小波变换等信号处理方法开始与神经网络深度耦合。</w:t>
      </w:r>
    </w:p>
    <w:p>
      <w:r>
        <w:rPr>
          <w:rFonts w:ascii="Calibri" w:hAnsi="Calibri" w:eastAsia="微软雅黑"/>
          <w:b w:val="0"/>
          <w:i w:val="0"/>
          <w:sz w:val="21"/>
        </w:rPr>
        <w:t>**20参见</w:t>
      </w:r>
      <w:r>
        <w:rPr>
          <w:rFonts w:ascii="Calibri" w:hAnsi="Calibri" w:eastAsia="微软雅黑"/>
          <w:b/>
          <w:i w:val="0"/>
          <w:color w:val="2980B9"/>
          <w:sz w:val="21"/>
        </w:rPr>
        <w:t>[53]</w:t>
      </w:r>
      <w:r>
        <w:rPr>
          <w:rFonts w:ascii="Calibri" w:hAnsi="Calibri" w:eastAsia="微软雅黑"/>
          <w:b w:val="0"/>
          <w:i w:val="0"/>
          <w:sz w:val="21"/>
        </w:rPr>
        <w:t>RMSE降低约18%。参见</w:t>
      </w:r>
      <w:r>
        <w:rPr>
          <w:rFonts w:ascii="Calibri" w:hAnsi="Calibri" w:eastAsia="微软雅黑"/>
          <w:b/>
          <w:i w:val="0"/>
          <w:color w:val="2980B9"/>
          <w:sz w:val="21"/>
        </w:rPr>
        <w:t>[52]</w:t>
      </w:r>
      <w:r>
        <w:rPr>
          <w:rFonts w:ascii="Calibri" w:hAnsi="Calibri" w:eastAsia="微软雅黑"/>
          <w:b w:val="0"/>
          <w:i w:val="0"/>
          <w:sz w:val="21"/>
        </w:rPr>
        <w:t>。参见</w:t>
      </w:r>
      <w:r>
        <w:rPr>
          <w:rFonts w:ascii="Calibri" w:hAnsi="Calibri" w:eastAsia="微软雅黑"/>
          <w:b/>
          <w:i w:val="0"/>
          <w:color w:val="2980B9"/>
          <w:sz w:val="21"/>
        </w:rPr>
        <w:t>[56]</w:t>
      </w:r>
      <w:r>
        <w:rPr>
          <w:rFonts w:ascii="Calibri" w:hAnsi="Calibri" w:eastAsia="微软雅黑"/>
          <w:b w:val="0"/>
          <w:i w:val="0"/>
          <w:sz w:val="21"/>
        </w:rPr>
        <w:t>。该阶段方法论从单模型向集成、混合范式演进，混合模型的预测精度普遍优于单一模型15-25%。</w:t>
      </w:r>
    </w:p>
    <w:p>
      <w:r>
        <w:rPr>
          <w:rFonts w:ascii="Calibri" w:hAnsi="Calibri" w:eastAsia="微软雅黑"/>
          <w:b w:val="0"/>
          <w:i w:val="0"/>
          <w:sz w:val="21"/>
        </w:rPr>
        <w:t>参见</w:t>
      </w:r>
      <w:r>
        <w:rPr>
          <w:rFonts w:ascii="Calibri" w:hAnsi="Calibri" w:eastAsia="微软雅黑"/>
          <w:b/>
          <w:i w:val="0"/>
          <w:color w:val="2980B9"/>
          <w:sz w:val="21"/>
        </w:rPr>
        <w:t>[9]</w:t>
      </w:r>
      <w:r>
        <w:rPr>
          <w:rFonts w:ascii="Calibri" w:hAnsi="Calibri" w:eastAsia="微软雅黑"/>
          <w:b w:val="0"/>
          <w:i w:val="0"/>
          <w:sz w:val="21"/>
        </w:rPr>
        <w:t>。参见</w:t>
      </w:r>
      <w:r>
        <w:rPr>
          <w:rFonts w:ascii="Calibri" w:hAnsi="Calibri" w:eastAsia="微软雅黑"/>
          <w:b/>
          <w:i w:val="0"/>
          <w:color w:val="2980B9"/>
          <w:sz w:val="21"/>
        </w:rPr>
        <w:t>[41]</w:t>
      </w:r>
      <w:r>
        <w:rPr>
          <w:rFonts w:ascii="Calibri" w:hAnsi="Calibri" w:eastAsia="微软雅黑"/>
          <w:b w:val="0"/>
          <w:i w:val="0"/>
          <w:sz w:val="21"/>
        </w:rPr>
        <w:t>。参见</w:t>
      </w:r>
      <w:r>
        <w:rPr>
          <w:rFonts w:ascii="Calibri" w:hAnsi="Calibri" w:eastAsia="微软雅黑"/>
          <w:b/>
          <w:i w:val="0"/>
          <w:color w:val="2980B9"/>
          <w:sz w:val="21"/>
        </w:rPr>
        <w:t>[63]</w:t>
      </w:r>
      <w:r>
        <w:rPr>
          <w:rFonts w:ascii="Calibri" w:hAnsi="Calibri" w:eastAsia="微软雅黑"/>
          <w:b w:val="0"/>
          <w:i w:val="0"/>
          <w:sz w:val="21"/>
        </w:rPr>
        <w:t>。参见</w:t>
      </w:r>
      <w:r>
        <w:rPr>
          <w:rFonts w:ascii="Calibri" w:hAnsi="Calibri" w:eastAsia="微软雅黑"/>
          <w:b/>
          <w:i w:val="0"/>
          <w:color w:val="2980B9"/>
          <w:sz w:val="21"/>
        </w:rPr>
        <w:t>[65]</w:t>
      </w:r>
      <w:r>
        <w:rPr>
          <w:rFonts w:ascii="Calibri" w:hAnsi="Calibri" w:eastAsia="微软雅黑"/>
          <w:b w:val="0"/>
          <w:i w:val="0"/>
          <w:sz w:val="21"/>
        </w:rPr>
        <w:t>。参见</w:t>
      </w:r>
      <w:r>
        <w:rPr>
          <w:rFonts w:ascii="Calibri" w:hAnsi="Calibri" w:eastAsia="微软雅黑"/>
          <w:b/>
          <w:i w:val="0"/>
          <w:color w:val="2980B9"/>
          <w:sz w:val="21"/>
        </w:rPr>
        <w:t>[66]</w:t>
      </w:r>
      <w:r>
        <w:rPr>
          <w:rFonts w:ascii="Calibri" w:hAnsi="Calibri" w:eastAsia="微软雅黑"/>
          <w:b w:val="0"/>
          <w:i w:val="0"/>
          <w:sz w:val="21"/>
        </w:rPr>
        <w:t>0%。</w:t>
      </w:r>
    </w:p>
    <w:p>
      <w:r>
        <w:rPr>
          <w:rFonts w:ascii="Calibri" w:hAnsi="Calibri" w:eastAsia="微软雅黑"/>
          <w:b w:val="0"/>
          <w:i w:val="0"/>
          <w:sz w:val="21"/>
        </w:rPr>
      </w:r>
      <w:r>
        <w:rPr>
          <w:rFonts w:ascii="Calibri" w:hAnsi="Calibri" w:eastAsia="微软雅黑"/>
          <w:b/>
          <w:i w:val="0"/>
          <w:sz w:val="21"/>
        </w:rPr>
        <w:t>辩论焦点2</w:t>
      </w:r>
      <w:r>
        <w:rPr>
          <w:rFonts w:ascii="Calibri" w:hAnsi="Calibri" w:eastAsia="微软雅黑"/>
          <w:b w:val="0"/>
          <w:i w:val="0"/>
          <w:sz w:val="21"/>
        </w:rPr>
        <w:t>：关于方法论演进的核心驱参见</w:t>
      </w:r>
      <w:r>
        <w:rPr>
          <w:rFonts w:ascii="Calibri" w:hAnsi="Calibri" w:eastAsia="微软雅黑"/>
          <w:b/>
          <w:i w:val="0"/>
          <w:color w:val="2980B9"/>
          <w:sz w:val="21"/>
        </w:rPr>
        <w:t>[60]</w:t>
      </w:r>
      <w:r>
        <w:rPr>
          <w:rFonts w:ascii="Calibri" w:hAnsi="Calibri" w:eastAsia="微软雅黑"/>
          <w:b w:val="0"/>
          <w:i w:val="0"/>
          <w:sz w:val="21"/>
        </w:rPr>
        <w:t>复现。程序部“代码架构师”进一步从工程实现角度确认，在碳价预测等金融时间序列场景中，EMD的滑动窗口分解方案会引入数据泄露，预测性能虚高约10-20%。交叉辩论结论：早期“分解-集成”类方法的预测精度可能被系统性高估，后续研究必须采用在线分解方案或因果分解方法（如CEEMDAN）来避免信息泄露，这也解释了为何2019年后基于端到端深度学习（如LSTM）的方法重新成为主流。</w:t>
      </w:r>
    </w:p>
    <w:p>
      <w:pPr>
        <w:pStyle w:val="Heading3"/>
      </w:pPr>
      <w:r>
        <w:rPr>
          <w:rFonts w:ascii="Calibri" w:hAnsi="Calibri" w:eastAsia="微软雅黑"/>
          <w:b/>
          <w:i w:val="0"/>
          <w:color w:val="1A1A2E"/>
          <w:sz w:val="20"/>
        </w:rPr>
        <w:t>2.2 量化对比矩阵</w:t>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rFonts w:ascii="Calibri" w:hAnsi="Calibri" w:eastAsia="微软雅黑"/>
                <w:b/>
                <w:i w:val="0"/>
                <w:color w:val="FFFFFF"/>
                <w:sz w:val="19"/>
              </w:rPr>
              <w:t>方法类别</w:t>
            </w:r>
          </w:p>
        </w:tc>
        <w:tc>
          <w:tcPr>
            <w:tcW w:type="dxa" w:w="1295"/>
          </w:tcPr>
          <w:p>
            <w:r/>
            <w:r>
              <w:rPr>
                <w:rFonts w:ascii="Calibri" w:hAnsi="Calibri" w:eastAsia="微软雅黑"/>
                <w:b/>
                <w:i w:val="0"/>
                <w:color w:val="FFFFFF"/>
                <w:sz w:val="19"/>
              </w:rPr>
              <w:t>代表论文</w:t>
            </w:r>
          </w:p>
        </w:tc>
        <w:tc>
          <w:tcPr>
            <w:tcW w:type="dxa" w:w="1295"/>
          </w:tcPr>
          <w:p>
            <w:r/>
            <w:r>
              <w:rPr>
                <w:rFonts w:ascii="Calibri" w:hAnsi="Calibri" w:eastAsia="微软雅黑"/>
                <w:b/>
                <w:i w:val="0"/>
                <w:color w:val="FFFFFF"/>
                <w:sz w:val="19"/>
              </w:rPr>
              <w:t>预测精度</w:t>
            </w:r>
          </w:p>
        </w:tc>
        <w:tc>
          <w:tcPr>
            <w:tcW w:type="dxa" w:w="1295"/>
          </w:tcPr>
          <w:p>
            <w:r/>
            <w:r>
              <w:rPr>
                <w:rFonts w:ascii="Calibri" w:hAnsi="Calibri" w:eastAsia="微软雅黑"/>
                <w:b/>
                <w:i w:val="0"/>
                <w:color w:val="FFFFFF"/>
                <w:sz w:val="19"/>
              </w:rPr>
              <w:t>可解释性</w:t>
            </w:r>
          </w:p>
        </w:tc>
        <w:tc>
          <w:tcPr>
            <w:tcW w:type="dxa" w:w="1295"/>
          </w:tcPr>
          <w:p>
            <w:r/>
            <w:r>
              <w:rPr>
                <w:rFonts w:ascii="Calibri" w:hAnsi="Calibri" w:eastAsia="微软雅黑"/>
                <w:b/>
                <w:i w:val="0"/>
                <w:color w:val="FFFFFF"/>
                <w:sz w:val="19"/>
              </w:rPr>
              <w:t>数据需求</w:t>
            </w:r>
          </w:p>
        </w:tc>
        <w:tc>
          <w:tcPr>
            <w:tcW w:type="dxa" w:w="1295"/>
          </w:tcPr>
          <w:p>
            <w:r/>
            <w:r>
              <w:rPr>
                <w:rFonts w:ascii="Calibri" w:hAnsi="Calibri" w:eastAsia="微软雅黑"/>
                <w:b/>
                <w:i w:val="0"/>
                <w:color w:val="FFFFFF"/>
                <w:sz w:val="19"/>
              </w:rPr>
              <w:t>计算开销</w:t>
            </w:r>
          </w:p>
        </w:tc>
        <w:tc>
          <w:tcPr>
            <w:tcW w:type="dxa" w:w="1295"/>
          </w:tcPr>
          <w:p>
            <w:r/>
            <w:r>
              <w:rPr>
                <w:rFonts w:ascii="Calibri" w:hAnsi="Calibri" w:eastAsia="微软雅黑"/>
                <w:b/>
                <w:i w:val="0"/>
                <w:color w:val="FFFFFF"/>
                <w:sz w:val="19"/>
              </w:rPr>
              <w:t>趋势</w:t>
            </w:r>
          </w:p>
        </w:tc>
      </w:tr>
      <w:tr>
        <w:tc>
          <w:tcPr>
            <w:tcW w:type="dxa" w:w="1295"/>
          </w:tcPr>
          <w:p>
            <w:r/>
            <w:r>
              <w:rPr>
                <w:rFonts w:ascii="Calibri" w:hAnsi="Calibri" w:eastAsia="微软雅黑"/>
                <w:b w:val="0"/>
                <w:i w:val="0"/>
                <w:sz w:val="18"/>
              </w:rPr>
              <w:t>ARIMA/GARCH</w:t>
            </w:r>
          </w:p>
        </w:tc>
        <w:tc>
          <w:tcPr>
            <w:tcW w:type="dxa" w:w="1295"/>
          </w:tcPr>
          <w:p>
            <w:r/>
            <w:r>
              <w:rPr>
                <w:rFonts w:ascii="Calibri" w:hAnsi="Calibri" w:eastAsia="微软雅黑"/>
                <w:b w:val="0"/>
                <w:i w:val="0"/>
                <w:sz w:val="18"/>
              </w:rPr>
              <w:t>[14]</w:t>
            </w:r>
          </w:p>
        </w:tc>
        <w:tc>
          <w:tcPr>
            <w:tcW w:type="dxa" w:w="1295"/>
          </w:tcPr>
          <w:p>
            <w:r/>
            <w:r>
              <w:rPr>
                <w:rFonts w:ascii="Calibri" w:hAnsi="Calibri" w:eastAsia="微软雅黑"/>
                <w:b w:val="0"/>
                <w:i w:val="0"/>
                <w:sz w:val="18"/>
              </w:rPr>
              <w:t>平均MAPE=8-15%</w:t>
            </w:r>
          </w:p>
        </w:tc>
        <w:tc>
          <w:tcPr>
            <w:tcW w:type="dxa" w:w="1295"/>
          </w:tcPr>
          <w:p>
            <w:r/>
            <w:r>
              <w:rPr>
                <w:rFonts w:ascii="Calibri" w:hAnsi="Calibri" w:eastAsia="微软雅黑"/>
                <w:b w:val="0"/>
                <w:i w:val="0"/>
                <w:sz w:val="18"/>
              </w:rPr>
              <w:t>强</w:t>
            </w:r>
          </w:p>
        </w:tc>
        <w:tc>
          <w:tcPr>
            <w:tcW w:type="dxa" w:w="1295"/>
          </w:tcPr>
          <w:p>
            <w:r/>
            <w:r>
              <w:rPr>
                <w:rFonts w:ascii="Calibri" w:hAnsi="Calibri" w:eastAsia="微软雅黑"/>
                <w:b w:val="0"/>
                <w:i w:val="0"/>
                <w:sz w:val="18"/>
              </w:rPr>
              <w:t>低（≥50点）</w:t>
            </w:r>
          </w:p>
        </w:tc>
        <w:tc>
          <w:tcPr>
            <w:tcW w:type="dxa" w:w="1295"/>
          </w:tcPr>
          <w:p>
            <w:r/>
            <w:r>
              <w:rPr>
                <w:rFonts w:ascii="Calibri" w:hAnsi="Calibri" w:eastAsia="微软雅黑"/>
                <w:b w:val="0"/>
                <w:i w:val="0"/>
                <w:sz w:val="18"/>
              </w:rPr>
              <w:t>低（CPU秒级）</w:t>
            </w:r>
          </w:p>
        </w:tc>
        <w:tc>
          <w:tcPr>
            <w:tcW w:type="dxa" w:w="1295"/>
          </w:tcPr>
          <w:p>
            <w:r/>
            <w:r>
              <w:rPr>
                <w:rFonts w:ascii="Calibri" w:hAnsi="Calibri" w:eastAsia="微软雅黑"/>
                <w:b w:val="0"/>
                <w:i w:val="0"/>
                <w:sz w:val="18"/>
              </w:rPr>
              <w:t>↓</w:t>
            </w:r>
          </w:p>
        </w:tc>
      </w:tr>
    </w:tbl>
    <w:p/>
    <w:p>
      <w:r>
        <w:rPr>
          <w:rFonts w:ascii="Calibri" w:hAnsi="Calibri" w:eastAsia="微软雅黑"/>
          <w:b w:val="0"/>
          <w:i w:val="0"/>
          <w:sz w:val="21"/>
        </w:rPr>
        <w:t>参见</w:t>
      </w:r>
      <w:r>
        <w:rPr>
          <w:rFonts w:ascii="Calibri" w:hAnsi="Calibri" w:eastAsia="微软雅黑"/>
          <w:b/>
          <w:i w:val="0"/>
          <w:color w:val="2980B9"/>
          <w:sz w:val="21"/>
        </w:rPr>
        <w:t>[53]</w:t>
      </w:r>
      <w:r>
        <w:rPr>
          <w:rFonts w:ascii="Calibri" w:hAnsi="Calibri" w:eastAsia="微软雅黑"/>
          <w:b w:val="0"/>
          <w:i w:val="0"/>
          <w:sz w:val="21"/>
        </w:rPr>
        <w:t>中 | → |</w:t>
      </w:r>
    </w:p>
    <w:p>
      <w:r>
        <w:rPr>
          <w:rFonts w:ascii="Calibri" w:hAnsi="Calibri" w:eastAsia="微软雅黑"/>
          <w:b w:val="0"/>
          <w:i w:val="0"/>
          <w:sz w:val="21"/>
        </w:rPr>
        <w:t>参见</w:t>
      </w:r>
      <w:r>
        <w:rPr>
          <w:rFonts w:ascii="Calibri" w:hAnsi="Calibri" w:eastAsia="微软雅黑"/>
          <w:b/>
          <w:i w:val="0"/>
          <w:color w:val="2980B9"/>
          <w:sz w:val="21"/>
        </w:rPr>
        <w:t>[67]</w:t>
      </w:r>
      <w:r>
        <w:rPr>
          <w:rFonts w:ascii="Calibri" w:hAnsi="Calibri" w:eastAsia="微软雅黑"/>
          <w:b w:val="0"/>
          <w:i w:val="0"/>
          <w:sz w:val="21"/>
        </w:rPr>
        <w:t xml:space="preserve"> |</w:t>
      </w:r>
    </w:p>
    <w:p>
      <w:r>
        <w:rPr>
          <w:rFonts w:ascii="Calibri" w:hAnsi="Calibri" w:eastAsia="微软雅黑"/>
          <w:b w:val="0"/>
          <w:i w:val="0"/>
          <w:sz w:val="21"/>
        </w:rPr>
        <w:t>参见</w:t>
      </w:r>
      <w:r>
        <w:rPr>
          <w:rFonts w:ascii="Calibri" w:hAnsi="Calibri" w:eastAsia="微软雅黑"/>
          <w:b/>
          <w:i w:val="0"/>
          <w:color w:val="2980B9"/>
          <w:sz w:val="21"/>
        </w:rPr>
        <w:t>[66]</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[60]</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[63]</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[9]</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[17]</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[2]</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[62]</w:t>
      </w:r>
      <w:r>
        <w:rPr>
          <w:rFonts w:ascii="Calibri" w:hAnsi="Calibri" w:eastAsia="微软雅黑"/>
          <w:b w:val="0"/>
          <w:i w:val="0"/>
          <w:sz w:val="21"/>
        </w:rPr>
      </w:r>
    </w:p>
    <w:p>
      <w:pPr>
        <w:pStyle w:val="Heading3"/>
      </w:pPr>
      <w:r>
        <w:rPr>
          <w:rFonts w:ascii="Calibri" w:hAnsi="Calibri" w:eastAsia="微软雅黑"/>
          <w:b/>
          <w:i w:val="0"/>
          <w:color w:val="1A1A2E"/>
          <w:sz w:val="20"/>
        </w:rPr>
        <w:t>2.3 辩论焦点</w:t>
      </w:r>
    </w:p>
    <w:p>
      <w:r>
        <w:rPr>
          <w:rFonts w:ascii="Calibri" w:hAnsi="Calibri" w:eastAsia="微软雅黑"/>
          <w:b w:val="0"/>
          <w:i w:val="0"/>
          <w:sz w:val="21"/>
        </w:rPr>
      </w:r>
      <w:r>
        <w:rPr>
          <w:rFonts w:ascii="Calibri" w:hAnsi="Calibri" w:eastAsia="微软雅黑"/>
          <w:b/>
          <w:i w:val="0"/>
          <w:sz w:val="21"/>
        </w:rPr>
        <w:t>辩论焦点3</w:t>
      </w:r>
      <w:r>
        <w:rPr>
          <w:rFonts w:ascii="Calibri" w:hAnsi="Calibri" w:eastAsia="微软雅黑"/>
          <w:b w:val="0"/>
          <w:i w:val="0"/>
          <w:sz w:val="21"/>
        </w:rPr>
        <w:t>：关于Transformer架构在能源预测中的适用性，程序部“技术选型师”认为Transformer由于需要大量训练数据（&gt;10000点），在碳价等低频日频数据中表现不佳，因此“暂不推荐作为主力模型”；但“代码架构师”指出，近年GPT等大语言模型在时序预测中的成功应用表明，Transformer在长程依赖捕捉上具有显著优势，只要数据量充足（&gt;5000点），其预测精度可超过LSTM约10%。反方质疑部门“边界条件派”进一步指出，在能源大宗商品价格预测中，结构突变（如碳市场改革）对模型稳健性的影响远大于架构选择，Transformer对分布外数据的泛化能力可能弱于更简单的统计模型。交叉辩论结论：Transformer在能源经济学中的适用性高度依赖于任务特性——在数据充足、长记忆性强的场景（如国家电力负荷预测）具有优势；但在样本量小、存在结构突变的市场（如碳价预测）中，LSTM和集成学习仍是更稳妥的选择。</w:t>
      </w:r>
    </w:p>
    <w:p>
      <w:pPr>
        <w:pStyle w:val="Heading2"/>
      </w:pPr>
      <w:r>
        <w:rPr>
          <w:rFonts w:ascii="Calibri" w:hAnsi="Calibri" w:eastAsia="微软雅黑"/>
          <w:b/>
          <w:i w:val="0"/>
          <w:color w:val="1A1A2E"/>
          <w:sz w:val="24"/>
        </w:rPr>
        <w:t>三、核心发现与争议</w:t>
      </w:r>
    </w:p>
    <w:p>
      <w:r>
        <w:rPr>
          <w:rFonts w:ascii="Calibri" w:hAnsi="Calibri" w:eastAsia="微软雅黑"/>
          <w:b w:val="0"/>
          <w:i w:val="0"/>
          <w:sz w:val="21"/>
        </w:rPr>
      </w:r>
      <w:r>
        <w:rPr>
          <w:rFonts w:ascii="Calibri" w:hAnsi="Calibri" w:eastAsia="微软雅黑"/>
          <w:b/>
          <w:i w:val="0"/>
          <w:sz w:val="21"/>
        </w:rPr>
        <w:t>发现1：深度学习在短期负荷预测中系统性优于传统方法，但优势随预测时域延长而衰减</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[51]</w:t>
      </w:r>
      <w:r>
        <w:rPr>
          <w:rFonts w:ascii="Calibri" w:hAnsi="Calibri" w:eastAsia="微软雅黑"/>
          <w:b w:val="0"/>
          <w:i w:val="0"/>
          <w:sz w:val="21"/>
        </w:rPr>
        <w:t>MA模型提升了15-30%。参见</w:t>
      </w:r>
      <w:r>
        <w:rPr>
          <w:rFonts w:ascii="Calibri" w:hAnsi="Calibri" w:eastAsia="微软雅黑"/>
          <w:b/>
          <w:i w:val="0"/>
          <w:color w:val="2980B9"/>
          <w:sz w:val="21"/>
        </w:rPr>
        <w:t>[54]</w:t>
      </w:r>
      <w:r>
        <w:rPr>
          <w:rFonts w:ascii="Calibri" w:hAnsi="Calibri" w:eastAsia="微软雅黑"/>
          <w:b w:val="0"/>
          <w:i w:val="0"/>
          <w:sz w:val="21"/>
        </w:rPr>
        <w:t>。参见</w:t>
      </w:r>
      <w:r>
        <w:rPr>
          <w:rFonts w:ascii="Calibri" w:hAnsi="Calibri" w:eastAsia="微软雅黑"/>
          <w:b/>
          <w:i w:val="0"/>
          <w:color w:val="2980B9"/>
          <w:sz w:val="21"/>
        </w:rPr>
        <w:t>[53]</w:t>
      </w:r>
      <w:r>
        <w:rPr>
          <w:rFonts w:ascii="Calibri" w:hAnsi="Calibri" w:eastAsia="微软雅黑"/>
          <w:b w:val="0"/>
          <w:i w:val="0"/>
          <w:sz w:val="21"/>
        </w:rPr>
      </w:r>
    </w:p>
    <w:p>
      <w:r>
        <w:rPr>
          <w:rFonts w:ascii="Calibri" w:hAnsi="Calibri" w:eastAsia="微软雅黑"/>
          <w:b w:val="0"/>
          <w:i w:val="0"/>
          <w:sz w:val="21"/>
        </w:rPr>
        <w:t>好的，我们继续撰写。</w:t>
      </w:r>
    </w:p>
    <w:p>
      <w:r>
        <w:rPr>
          <w:rFonts w:ascii="Calibri" w:hAnsi="Calibri" w:eastAsia="微软雅黑"/>
          <w:b w:val="0"/>
          <w:i w:val="0"/>
          <w:sz w:val="21"/>
        </w:rPr>
        <w:t>---</w:t>
      </w:r>
    </w:p>
    <w:p>
      <w:pPr>
        <w:pStyle w:val="Heading3"/>
      </w:pPr>
      <w:r>
        <w:rPr>
          <w:rFonts w:ascii="Calibri" w:hAnsi="Calibri" w:eastAsia="微软雅黑"/>
          <w:b/>
          <w:i w:val="0"/>
          <w:color w:val="1A1A2E"/>
          <w:sz w:val="20"/>
        </w:rPr>
        <w:t>**核心发现与争议（续）**</w:t>
      </w:r>
    </w:p>
    <w:p>
      <w:r>
        <w:rPr>
          <w:rFonts w:ascii="Calibri" w:hAnsi="Calibri" w:eastAsia="微软雅黑"/>
          <w:b w:val="0"/>
          <w:i w:val="0"/>
          <w:sz w:val="21"/>
        </w:rPr>
        <w:t>参见</w:t>
      </w:r>
      <w:r>
        <w:rPr>
          <w:rFonts w:ascii="Calibri" w:hAnsi="Calibri" w:eastAsia="微软雅黑"/>
          <w:b/>
          <w:i w:val="0"/>
          <w:color w:val="2980B9"/>
          <w:sz w:val="21"/>
        </w:rPr>
        <w:t>[53]</w:t>
      </w:r>
      <w:r>
        <w:rPr>
          <w:rFonts w:ascii="Calibri" w:hAnsi="Calibri" w:eastAsia="微软雅黑"/>
          <w:b w:val="0"/>
          <w:i w:val="0"/>
          <w:sz w:val="21"/>
        </w:rPr>
        <w:t>显著优于标准LSTM（MAPE=4.5%）和传统支持向量机（MAPE=5.2%），再次印证了深度学习在短周期内的优势。然而，当预测窗口延长至一周或更长时，上述模型间的性能差距显著缩小，所有模型的MAPE均上升至8-15%区间，且传统方法在某些稳定工况下反而表现出更低的误差方差。这一发现引出了一个核心分岐点：</w:t>
      </w:r>
      <w:r>
        <w:rPr>
          <w:rFonts w:ascii="Calibri" w:hAnsi="Calibri" w:eastAsia="微软雅黑"/>
          <w:b/>
          <w:i w:val="0"/>
          <w:sz w:val="21"/>
        </w:rPr>
        <w:t>深度学习部门认为该衰减归因于长时预测中天气、宏观政策等外部不确定性的急剧累积，而与模型本身结构无关</w:t>
      </w:r>
      <w:r>
        <w:rPr>
          <w:rFonts w:ascii="Calibri" w:hAnsi="Calibri" w:eastAsia="微软雅黑"/>
          <w:b w:val="0"/>
          <w:i w:val="0"/>
          <w:sz w:val="21"/>
        </w:rPr>
        <w:t>；但</w:t>
      </w:r>
      <w:r>
        <w:rPr>
          <w:rFonts w:ascii="Calibri" w:hAnsi="Calibri" w:eastAsia="微软雅黑"/>
          <w:b/>
          <w:i w:val="0"/>
          <w:sz w:val="21"/>
        </w:rPr>
        <w:t>反方质疑部门（部分资审专家）指出</w:t>
      </w:r>
      <w:r>
        <w:rPr>
          <w:rFonts w:ascii="Calibri" w:hAnsi="Calibri" w:eastAsia="微软雅黑"/>
          <w:b w:val="0"/>
          <w:i w:val="0"/>
          <w:sz w:val="21"/>
        </w:rPr>
        <w:t>，这揭示了许多深度学习模型“短视记忆”的结构性缺陷——它们更擅长拟合高频波动，却难以捕捉影响长期趋势的周期性模式和长期依赖关系。经过交叉辩论，双方达成共识：深度学习专长于局部模式挖掘（分钟至小时级），但在捕捉长周期（周、月、季度）的准周期性模式时，其与带季节性分解的传统SARIMA模型的优势并不绝对，需配合自注意力机制或结构化状态空间模型（如Mamba）来弥补该缺陷。该结论的置信度为🟢高。</w:t>
      </w:r>
    </w:p>
    <w:p>
      <w:r>
        <w:rPr>
          <w:rFonts w:ascii="Calibri" w:hAnsi="Calibri" w:eastAsia="微软雅黑"/>
          <w:b w:val="0"/>
          <w:i w:val="0"/>
          <w:sz w:val="21"/>
        </w:rPr>
      </w:r>
      <w:r>
        <w:rPr>
          <w:rFonts w:ascii="Calibri" w:hAnsi="Calibri" w:eastAsia="微软雅黑"/>
          <w:b/>
          <w:i w:val="0"/>
          <w:sz w:val="21"/>
        </w:rPr>
        <w:t>核心发现2：概率预测与不确定性量化正成为衔接预测与决策的核心，但价值受限于“校准质量”</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[54]</w:t>
      </w:r>
      <w:r>
        <w:rPr>
          <w:rFonts w:ascii="Calibri" w:hAnsi="Calibri" w:eastAsia="微软雅黑"/>
          <w:b w:val="0"/>
          <w:i w:val="0"/>
          <w:sz w:val="21"/>
        </w:rPr>
        <w:t>。参见</w:t>
      </w:r>
      <w:r>
        <w:rPr>
          <w:rFonts w:ascii="Calibri" w:hAnsi="Calibri" w:eastAsia="微软雅黑"/>
          <w:b/>
          <w:i w:val="0"/>
          <w:color w:val="2980B9"/>
          <w:sz w:val="21"/>
        </w:rPr>
        <w:t>[57]</w:t>
      </w:r>
      <w:r>
        <w:rPr>
          <w:rFonts w:ascii="Calibri" w:hAnsi="Calibri" w:eastAsia="微软雅黑"/>
          <w:b w:val="0"/>
          <w:i w:val="0"/>
          <w:sz w:val="21"/>
        </w:rPr>
        <w:t>值）。参见</w:t>
      </w:r>
      <w:r>
        <w:rPr>
          <w:rFonts w:ascii="Calibri" w:hAnsi="Calibri" w:eastAsia="微软雅黑"/>
          <w:b/>
          <w:i w:val="0"/>
          <w:color w:val="2980B9"/>
          <w:sz w:val="21"/>
        </w:rPr>
        <w:t>[58]</w:t>
      </w:r>
      <w:r>
        <w:rPr>
          <w:rFonts w:ascii="Calibri" w:hAnsi="Calibri" w:eastAsia="微软雅黑"/>
          <w:b w:val="0"/>
          <w:i w:val="0"/>
          <w:sz w:val="21"/>
        </w:rPr>
        <w:t>是处理新能源高渗透率下不确定性的基础。参见</w:t>
      </w:r>
      <w:r>
        <w:rPr>
          <w:rFonts w:ascii="Calibri" w:hAnsi="Calibri" w:eastAsia="微软雅黑"/>
          <w:b/>
          <w:i w:val="0"/>
          <w:color w:val="2980B9"/>
          <w:sz w:val="21"/>
        </w:rPr>
        <w:t>[60]</w:t>
      </w:r>
      <w:r>
        <w:rPr>
          <w:rFonts w:ascii="Calibri" w:hAnsi="Calibri" w:eastAsia="微软雅黑"/>
          <w:b w:val="0"/>
          <w:i w:val="0"/>
          <w:sz w:val="21"/>
        </w:rPr>
        <w:t>。参见</w:t>
      </w:r>
      <w:r>
        <w:rPr>
          <w:rFonts w:ascii="Calibri" w:hAnsi="Calibri" w:eastAsia="微软雅黑"/>
          <w:b/>
          <w:i w:val="0"/>
          <w:color w:val="2980B9"/>
          <w:sz w:val="21"/>
        </w:rPr>
        <w:t>[52]</w:t>
      </w:r>
      <w:r>
        <w:rPr>
          <w:rFonts w:ascii="Calibri" w:hAnsi="Calibri" w:eastAsia="微软雅黑"/>
          <w:b w:val="0"/>
          <w:i w:val="0"/>
          <w:sz w:val="21"/>
        </w:rPr>
        <w:t>盖率不等于预设置信水平），则其决策价值甚至劣于简单的点预测加固定裕度法。</w:t>
      </w:r>
      <w:r>
        <w:rPr>
          <w:rFonts w:ascii="Calibri" w:hAnsi="Calibri" w:eastAsia="微软雅黑"/>
          <w:b/>
          <w:i w:val="0"/>
          <w:sz w:val="21"/>
        </w:rPr>
        <w:t>数据管理组和能源经济组在辩论中强调</w:t>
      </w:r>
      <w:r>
        <w:rPr>
          <w:rFonts w:ascii="Calibri" w:hAnsi="Calibri" w:eastAsia="微软雅黑"/>
          <w:b w:val="0"/>
          <w:i w:val="0"/>
          <w:sz w:val="21"/>
        </w:rPr>
        <w:t>，当前许多论文宣称的“概率预测”仅给出了宽泛的80%置信区间，但其实际覆盖率往往低于60%，这说明模型并未真正学习到数据的分布规律，而是通过过宽区间“取巧”来提高可靠性。</w:t>
      </w:r>
      <w:r>
        <w:rPr>
          <w:rFonts w:ascii="Calibri" w:hAnsi="Calibri" w:eastAsia="微软雅黑"/>
          <w:b/>
          <w:i w:val="0"/>
          <w:sz w:val="21"/>
        </w:rPr>
        <w:t>交叉辩论结论</w:t>
      </w:r>
      <w:r>
        <w:rPr>
          <w:rFonts w:ascii="Calibri" w:hAnsi="Calibri" w:eastAsia="微软雅黑"/>
          <w:b w:val="0"/>
          <w:i w:val="0"/>
          <w:sz w:val="21"/>
        </w:rPr>
        <w:t>：概率预测的核心技术挑战已从“缩小区间宽度”转向“提升区间校准精度”。在不失校准精度前提下压缩区间宽度，是衔接“预测”与“最优决策”的核心枢纽。该结论的置信度为🟢高。</w:t>
      </w:r>
    </w:p>
    <w:p>
      <w:r>
        <w:rPr>
          <w:rFonts w:ascii="Calibri" w:hAnsi="Calibri" w:eastAsia="微软雅黑"/>
          <w:b w:val="0"/>
          <w:i w:val="0"/>
          <w:sz w:val="21"/>
        </w:rPr>
      </w:r>
      <w:r>
        <w:rPr>
          <w:rFonts w:ascii="Calibri" w:hAnsi="Calibri" w:eastAsia="微软雅黑"/>
          <w:b/>
          <w:i w:val="0"/>
          <w:sz w:val="21"/>
        </w:rPr>
        <w:t>核心发现3：数据清洗与预处理是决定模型回归性能的上限，但常被论文忽视</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[53]</w:t>
      </w:r>
      <w:r>
        <w:rPr>
          <w:rFonts w:ascii="Calibri" w:hAnsi="Calibri" w:eastAsia="微软雅黑"/>
          <w:b w:val="0"/>
          <w:i w:val="0"/>
          <w:sz w:val="21"/>
        </w:rPr>
        <w:t>。参见</w:t>
      </w:r>
      <w:r>
        <w:rPr>
          <w:rFonts w:ascii="Calibri" w:hAnsi="Calibri" w:eastAsia="微软雅黑"/>
          <w:b/>
          <w:i w:val="0"/>
          <w:color w:val="2980B9"/>
          <w:sz w:val="21"/>
        </w:rPr>
        <w:t>[51]</w:t>
      </w:r>
      <w:r>
        <w:rPr>
          <w:rFonts w:ascii="Calibri" w:hAnsi="Calibri" w:eastAsia="微软雅黑"/>
          <w:b w:val="0"/>
          <w:i w:val="0"/>
          <w:sz w:val="21"/>
        </w:rPr>
        <w:t>。参见</w:t>
      </w:r>
      <w:r>
        <w:rPr>
          <w:rFonts w:ascii="Calibri" w:hAnsi="Calibri" w:eastAsia="微软雅黑"/>
          <w:b/>
          <w:i w:val="0"/>
          <w:color w:val="2980B9"/>
          <w:sz w:val="21"/>
        </w:rPr>
        <w:t>[58]</w:t>
      </w:r>
      <w:r>
        <w:rPr>
          <w:rFonts w:ascii="Calibri" w:hAnsi="Calibri" w:eastAsia="微软雅黑"/>
          <w:b w:val="0"/>
          <w:i w:val="0"/>
          <w:sz w:val="21"/>
        </w:rPr>
        <w:t>。</w:t>
      </w:r>
      <w:r>
        <w:rPr>
          <w:rFonts w:ascii="Calibri" w:hAnsi="Calibri" w:eastAsia="微软雅黑"/>
          <w:b/>
          <w:i w:val="0"/>
          <w:sz w:val="21"/>
        </w:rPr>
        <w:t>反面证据</w:t>
      </w:r>
      <w:r>
        <w:rPr>
          <w:rFonts w:ascii="Calibri" w:hAnsi="Calibri" w:eastAsia="微软雅黑"/>
          <w:b w:val="0"/>
          <w:i w:val="0"/>
          <w:sz w:val="21"/>
        </w:rPr>
        <w:t>：尽管业界公认预处理的参见</w:t>
      </w:r>
      <w:r>
        <w:rPr>
          <w:rFonts w:ascii="Calibri" w:hAnsi="Calibri" w:eastAsia="微软雅黑"/>
          <w:b/>
          <w:i w:val="0"/>
          <w:color w:val="2980B9"/>
          <w:sz w:val="21"/>
        </w:rPr>
        <w:t>[51]</w:t>
      </w:r>
      <w:r>
        <w:rPr>
          <w:rFonts w:ascii="Calibri" w:hAnsi="Calibri" w:eastAsia="微软雅黑"/>
          <w:b w:val="0"/>
          <w:i w:val="0"/>
          <w:sz w:val="21"/>
        </w:rPr>
        <w:t xml:space="preserve">。 </w:t>
      </w:r>
      <w:r>
        <w:rPr>
          <w:rFonts w:ascii="Calibri" w:hAnsi="Calibri" w:eastAsia="微软雅黑"/>
          <w:b/>
          <w:i w:val="0"/>
          <w:sz w:val="21"/>
        </w:rPr>
        <w:t>算法反思组尖锐指出</w:t>
      </w:r>
      <w:r>
        <w:rPr>
          <w:rFonts w:ascii="Calibri" w:hAnsi="Calibri" w:eastAsia="微软雅黑"/>
          <w:b w:val="0"/>
          <w:i w:val="0"/>
          <w:sz w:val="21"/>
        </w:rPr>
        <w:t>，这造成了“术”（复杂模型）与“道”（数据质量）的严重失衡——大量工作着力于优化0.1%的模型精度，却忽视了因传感器漂移或通信故障导致的5%-10%的数据噪声。</w:t>
      </w:r>
      <w:r>
        <w:rPr>
          <w:rFonts w:ascii="Calibri" w:hAnsi="Calibri" w:eastAsia="微软雅黑"/>
          <w:b/>
          <w:i w:val="0"/>
          <w:sz w:val="21"/>
        </w:rPr>
        <w:t>交叉辩论结论</w:t>
      </w:r>
      <w:r>
        <w:rPr>
          <w:rFonts w:ascii="Calibri" w:hAnsi="Calibri" w:eastAsia="微软雅黑"/>
          <w:b w:val="0"/>
          <w:i w:val="0"/>
          <w:sz w:val="21"/>
        </w:rPr>
        <w:t>：该空白并非“没人意识到”，而是“高价值、低产出”导致的畏难情绪——标准化的自动化数据清洗框架（如混合驱动异常检测）的缺失，使得该方向的创新难以获得方法论认可。由此引出了下一章节的核心研究方向。该结论的置信度为🟢高。该论文未报告量化指标。</w:t>
      </w:r>
    </w:p>
    <w:p>
      <w:r>
        <w:rPr>
          <w:rFonts w:ascii="Calibri" w:hAnsi="Calibri" w:eastAsia="微软雅黑"/>
          <w:b w:val="0"/>
          <w:i w:val="0"/>
          <w:sz w:val="21"/>
        </w:rPr>
        <w:t>---</w:t>
      </w:r>
    </w:p>
    <w:p>
      <w:pPr>
        <w:pStyle w:val="Heading3"/>
      </w:pPr>
      <w:r>
        <w:rPr>
          <w:rFonts w:ascii="Calibri" w:hAnsi="Calibri" w:eastAsia="微软雅黑"/>
          <w:b/>
          <w:i w:val="0"/>
          <w:color w:val="1A1A2E"/>
          <w:sz w:val="20"/>
        </w:rPr>
        <w:t>**研究空白与前沿方向**</w:t>
      </w:r>
    </w:p>
    <w:p>
      <w:r>
        <w:rPr>
          <w:rFonts w:ascii="Calibri" w:hAnsi="Calibri" w:eastAsia="微软雅黑"/>
          <w:b w:val="0"/>
          <w:i w:val="0"/>
          <w:sz w:val="21"/>
        </w:rPr>
        <w:t>基于上述核心发现与部门辩论共识，本报告识别出以下三个亟待突破的研究空白，并从“为何至今无人系统解决”和“解决后的重大价值”两个维度进行深度剖析。</w:t>
      </w:r>
    </w:p>
    <w:p>
      <w:r>
        <w:rPr>
          <w:rFonts w:ascii="Calibri" w:hAnsi="Calibri" w:eastAsia="微软雅黑"/>
          <w:b w:val="0"/>
          <w:i w:val="0"/>
          <w:sz w:val="21"/>
        </w:rPr>
      </w:r>
      <w:r>
        <w:rPr>
          <w:rFonts w:ascii="Calibri" w:hAnsi="Calibri" w:eastAsia="微软雅黑"/>
          <w:b/>
          <w:i w:val="0"/>
          <w:sz w:val="21"/>
        </w:rPr>
        <w:t>1. 可求解的概率区间校准与最优决策的联合框架</w:t>
      </w:r>
      <w:r>
        <w:rPr>
          <w:rFonts w:ascii="Calibri" w:hAnsi="Calibri" w:eastAsia="微软雅黑"/>
          <w:b w:val="0"/>
          <w:i w:val="0"/>
          <w:sz w:val="21"/>
        </w:rPr>
      </w:r>
    </w:p>
    <w:p>
      <w:r>
        <w:rPr>
          <w:rFonts w:ascii="Calibri" w:hAnsi="Calibri" w:eastAsia="微软雅黑"/>
          <w:b w:val="0"/>
          <w:i w:val="0"/>
          <w:sz w:val="21"/>
        </w:rPr>
        <w:t xml:space="preserve">*   </w:t>
      </w:r>
      <w:r>
        <w:rPr>
          <w:rFonts w:ascii="Calibri" w:hAnsi="Calibri" w:eastAsia="微软雅黑"/>
          <w:b/>
          <w:i w:val="0"/>
          <w:sz w:val="21"/>
        </w:rPr>
        <w:t>为何没人做</w:t>
      </w:r>
      <w:r>
        <w:rPr>
          <w:rFonts w:ascii="Calibri" w:hAnsi="Calibri" w:eastAsia="微软雅黑"/>
          <w:b w:val="0"/>
          <w:i w:val="0"/>
          <w:sz w:val="21"/>
        </w:rPr>
        <w:t>：当前学术界将“概率预测”和“鲁棒优化”视为两个独立学科。前者由统计、机器学习学者主导，追求区间校准度（如Pinball Loss）；后者由运筹学学者主导，追求在最坏情景下的决策鲁棒性。二者在数学形式上存在本质分歧：概率预测输出的是连续分布，而鲁棒优化所需的是离散子集。将校准后的连续分布高效、无损地转化为优化模型可求解的紧凑情景集，缺乏成熟的数学工具。此外，该方向参见</w:t>
      </w:r>
      <w:r>
        <w:rPr>
          <w:rFonts w:ascii="Calibri" w:hAnsi="Calibri" w:eastAsia="微软雅黑"/>
          <w:b/>
          <w:i w:val="0"/>
          <w:color w:val="2980B9"/>
          <w:sz w:val="21"/>
        </w:rPr>
        <w:t>[57]</w:t>
      </w:r>
      <w:r>
        <w:rPr>
          <w:rFonts w:ascii="Calibri" w:hAnsi="Calibri" w:eastAsia="微软雅黑"/>
          <w:b w:val="0"/>
          <w:i w:val="0"/>
          <w:sz w:val="21"/>
        </w:rPr>
        <w:t>。</w:t>
      </w:r>
    </w:p>
    <w:p>
      <w:r>
        <w:rPr>
          <w:rFonts w:ascii="Calibri" w:hAnsi="Calibri" w:eastAsia="微软雅黑"/>
          <w:b w:val="0"/>
          <w:i w:val="0"/>
          <w:sz w:val="21"/>
        </w:rPr>
        <w:t xml:space="preserve">*   </w:t>
      </w:r>
      <w:r>
        <w:rPr>
          <w:rFonts w:ascii="Calibri" w:hAnsi="Calibri" w:eastAsia="微软雅黑"/>
          <w:b/>
          <w:i w:val="0"/>
          <w:sz w:val="21"/>
        </w:rPr>
        <w:t>做了有什么价值</w:t>
      </w:r>
      <w:r>
        <w:rPr>
          <w:rFonts w:ascii="Calibri" w:hAnsi="Calibri" w:eastAsia="微软雅黑"/>
          <w:b w:val="0"/>
          <w:i w:val="0"/>
          <w:sz w:val="21"/>
        </w:rPr>
        <w:t>：若该框架得以建立，将真正打通“预测-决策”的“最后一公里”。参见</w:t>
      </w:r>
      <w:r>
        <w:rPr>
          <w:rFonts w:ascii="Calibri" w:hAnsi="Calibri" w:eastAsia="微软雅黑"/>
          <w:b/>
          <w:i w:val="0"/>
          <w:color w:val="2980B9"/>
          <w:sz w:val="21"/>
        </w:rPr>
        <w:t>[57]</w:t>
      </w:r>
      <w:r>
        <w:rPr>
          <w:rFonts w:ascii="Calibri" w:hAnsi="Calibri" w:eastAsia="微软雅黑"/>
          <w:b w:val="0"/>
          <w:i w:val="0"/>
          <w:sz w:val="21"/>
        </w:rPr>
        <w:t>5%。参见</w:t>
      </w:r>
      <w:r>
        <w:rPr>
          <w:rFonts w:ascii="Calibri" w:hAnsi="Calibri" w:eastAsia="微软雅黑"/>
          <w:b/>
          <w:i w:val="0"/>
          <w:color w:val="2980B9"/>
          <w:sz w:val="21"/>
        </w:rPr>
        <w:t>[60]</w:t>
      </w:r>
      <w:r>
        <w:rPr>
          <w:rFonts w:ascii="Calibri" w:hAnsi="Calibri" w:eastAsia="微软雅黑"/>
          <w:b w:val="0"/>
          <w:i w:val="0"/>
          <w:sz w:val="21"/>
        </w:rPr>
        <w:t>。</w:t>
      </w:r>
    </w:p>
    <w:p>
      <w:r>
        <w:rPr>
          <w:rFonts w:ascii="Calibri" w:hAnsi="Calibri" w:eastAsia="微软雅黑"/>
          <w:b w:val="0"/>
          <w:i w:val="0"/>
          <w:sz w:val="21"/>
        </w:rPr>
      </w:r>
      <w:r>
        <w:rPr>
          <w:rFonts w:ascii="Calibri" w:hAnsi="Calibri" w:eastAsia="微软雅黑"/>
          <w:b/>
          <w:i w:val="0"/>
          <w:sz w:val="21"/>
        </w:rPr>
        <w:t>2. 面向数据资产碎片化的跨领域迁移与小样本学习范式</w:t>
      </w:r>
      <w:r>
        <w:rPr>
          <w:rFonts w:ascii="Calibri" w:hAnsi="Calibri" w:eastAsia="微软雅黑"/>
          <w:b w:val="0"/>
          <w:i w:val="0"/>
          <w:sz w:val="21"/>
        </w:rPr>
      </w:r>
    </w:p>
    <w:p>
      <w:r>
        <w:rPr>
          <w:rFonts w:ascii="Calibri" w:hAnsi="Calibri" w:eastAsia="微软雅黑"/>
          <w:b w:val="0"/>
          <w:i w:val="0"/>
          <w:sz w:val="21"/>
        </w:rPr>
        <w:t xml:space="preserve">*   </w:t>
      </w:r>
      <w:r>
        <w:rPr>
          <w:rFonts w:ascii="Calibri" w:hAnsi="Calibri" w:eastAsia="微软雅黑"/>
          <w:b/>
          <w:i w:val="0"/>
          <w:sz w:val="21"/>
        </w:rPr>
        <w:t>为何没人做</w:t>
      </w:r>
      <w:r>
        <w:rPr>
          <w:rFonts w:ascii="Calibri" w:hAnsi="Calibri" w:eastAsia="微软雅黑"/>
          <w:b w:val="0"/>
          <w:i w:val="0"/>
          <w:sz w:val="21"/>
        </w:rPr>
        <w:t>：智能电网数据因商业机密、隐私保护及通信协议差异（IEC 61850 vs. Modbus等），呈现严重的“数据孤岛”现象。参见</w:t>
      </w:r>
      <w:r>
        <w:rPr>
          <w:rFonts w:ascii="Calibri" w:hAnsi="Calibri" w:eastAsia="微软雅黑"/>
          <w:b/>
          <w:i w:val="0"/>
          <w:color w:val="2980B9"/>
          <w:sz w:val="21"/>
        </w:rPr>
        <w:t>[58]</w:t>
      </w:r>
      <w:r>
        <w:rPr>
          <w:rFonts w:ascii="Calibri" w:hAnsi="Calibri" w:eastAsia="微软雅黑"/>
          <w:b w:val="0"/>
          <w:i w:val="0"/>
          <w:sz w:val="21"/>
        </w:rPr>
        <w:t>。参见</w:t>
      </w:r>
      <w:r>
        <w:rPr>
          <w:rFonts w:ascii="Calibri" w:hAnsi="Calibri" w:eastAsia="微软雅黑"/>
          <w:b/>
          <w:i w:val="0"/>
          <w:color w:val="2980B9"/>
          <w:sz w:val="21"/>
        </w:rPr>
        <w:t>[52]</w:t>
      </w:r>
      <w:r>
        <w:rPr>
          <w:rFonts w:ascii="Calibri" w:hAnsi="Calibri" w:eastAsia="微软雅黑"/>
          <w:b w:val="0"/>
          <w:i w:val="0"/>
          <w:sz w:val="21"/>
        </w:rPr>
        <w:t>）数据的双重攻击，导致模型收敛困难甚至发散。此外，深度迁移学习在长期、多尺度环境影响下（如季节性漂移），其“负迁移”（源域知识损害目标域性能）风险极高，缺乏有效的防迁移机制。</w:t>
      </w:r>
    </w:p>
    <w:p>
      <w:r>
        <w:rPr>
          <w:rFonts w:ascii="Calibri" w:hAnsi="Calibri" w:eastAsia="微软雅黑"/>
          <w:b w:val="0"/>
          <w:i w:val="0"/>
          <w:sz w:val="21"/>
        </w:rPr>
        <w:t xml:space="preserve">*   </w:t>
      </w:r>
      <w:r>
        <w:rPr>
          <w:rFonts w:ascii="Calibri" w:hAnsi="Calibri" w:eastAsia="微软雅黑"/>
          <w:b/>
          <w:i w:val="0"/>
          <w:sz w:val="21"/>
        </w:rPr>
        <w:t>做了有什么价值</w:t>
      </w:r>
      <w:r>
        <w:rPr>
          <w:rFonts w:ascii="Calibri" w:hAnsi="Calibri" w:eastAsia="微软雅黑"/>
          <w:b w:val="0"/>
          <w:i w:val="0"/>
          <w:sz w:val="21"/>
        </w:rPr>
        <w:t>：开发一个鲁棒性强的跨时空迁移学习范式（如先在大规模通用气象-负荷对上预训练，再在小样本目标区域微调），将极大降低新建智能电网或欠发达地区的预测启动成本。参见</w:t>
      </w:r>
      <w:r>
        <w:rPr>
          <w:rFonts w:ascii="Calibri" w:hAnsi="Calibri" w:eastAsia="微软雅黑"/>
          <w:b/>
          <w:i w:val="0"/>
          <w:color w:val="2980B9"/>
          <w:sz w:val="21"/>
        </w:rPr>
        <w:t>[54]</w:t>
      </w:r>
      <w:r>
        <w:rPr>
          <w:rFonts w:ascii="Calibri" w:hAnsi="Calibri" w:eastAsia="微软雅黑"/>
          <w:b w:val="0"/>
          <w:i w:val="0"/>
          <w:sz w:val="21"/>
        </w:rPr>
        <w:t>统方法需积累一年以上数据的漫长冷启动期。此举对于推动全球能源公平具有深远意义。</w:t>
      </w:r>
    </w:p>
    <w:p>
      <w:r>
        <w:rPr>
          <w:rFonts w:ascii="Calibri" w:hAnsi="Calibri" w:eastAsia="微软雅黑"/>
          <w:b w:val="0"/>
          <w:i w:val="0"/>
          <w:sz w:val="21"/>
        </w:rPr>
      </w:r>
      <w:r>
        <w:rPr>
          <w:rFonts w:ascii="Calibri" w:hAnsi="Calibri" w:eastAsia="微软雅黑"/>
          <w:b/>
          <w:i w:val="0"/>
          <w:sz w:val="21"/>
        </w:rPr>
        <w:t>3. 基于轻量化物理信息注入的动态可解释性方法</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[51]</w:t>
      </w:r>
      <w:r>
        <w:rPr>
          <w:rFonts w:ascii="Calibri" w:hAnsi="Calibri" w:eastAsia="微软雅黑"/>
          <w:b w:val="0"/>
          <w:i w:val="0"/>
          <w:sz w:val="21"/>
        </w:rPr>
        <w:t>。参见</w:t>
      </w:r>
      <w:r>
        <w:rPr>
          <w:rFonts w:ascii="Calibri" w:hAnsi="Calibri" w:eastAsia="微软雅黑"/>
          <w:b/>
          <w:i w:val="0"/>
          <w:color w:val="2980B9"/>
          <w:sz w:val="21"/>
        </w:rPr>
        <w:t>[58]</w:t>
      </w:r>
      <w:r>
        <w:rPr>
          <w:rFonts w:ascii="Calibri" w:hAnsi="Calibri" w:eastAsia="微软雅黑"/>
          <w:b w:val="0"/>
          <w:i w:val="0"/>
          <w:sz w:val="21"/>
        </w:rPr>
        <w:t>盾。大多数研究者倾向于在纯数据驱动模型上修修补补，而非开发全新的混合PDE-ODE（偏-常微分方程）求解网络。参见</w:t>
      </w:r>
      <w:r>
        <w:rPr>
          <w:rFonts w:ascii="Calibri" w:hAnsi="Calibri" w:eastAsia="微软雅黑"/>
          <w:b/>
          <w:i w:val="0"/>
          <w:color w:val="2980B9"/>
          <w:sz w:val="21"/>
        </w:rPr>
        <w:t>[54]</w:t>
      </w:r>
      <w:r>
        <w:rPr>
          <w:rFonts w:ascii="Calibri" w:hAnsi="Calibri" w:eastAsia="微软雅黑"/>
          <w:b w:val="0"/>
          <w:i w:val="0"/>
          <w:sz w:val="21"/>
        </w:rPr>
        <w:t>。</w:t>
      </w:r>
    </w:p>
    <w:p>
      <w:r>
        <w:rPr>
          <w:rFonts w:ascii="Calibri" w:hAnsi="Calibri" w:eastAsia="微软雅黑"/>
          <w:b w:val="0"/>
          <w:i w:val="0"/>
          <w:sz w:val="21"/>
        </w:rPr>
        <w:t xml:space="preserve">*   </w:t>
      </w:r>
      <w:r>
        <w:rPr>
          <w:rFonts w:ascii="Calibri" w:hAnsi="Calibri" w:eastAsia="微软雅黑"/>
          <w:b/>
          <w:i w:val="0"/>
          <w:sz w:val="21"/>
        </w:rPr>
        <w:t>做了有什么价值</w:t>
      </w:r>
      <w:r>
        <w:rPr>
          <w:rFonts w:ascii="Calibri" w:hAnsi="Calibri" w:eastAsia="微软雅黑"/>
          <w:b w:val="0"/>
          <w:i w:val="0"/>
          <w:sz w:val="21"/>
        </w:rPr>
        <w:t>：若开发出轻量化（如参数化嵌入式物理模块，仅占模型总参数量5%）的物理信息注入方法，可在不显著增加推理时间的前提下，将模型在极端天气事件中的预测误差降低10-15%。参见</w:t>
      </w:r>
      <w:r>
        <w:rPr>
          <w:rFonts w:ascii="Calibri" w:hAnsi="Calibri" w:eastAsia="微软雅黑"/>
          <w:b/>
          <w:i w:val="0"/>
          <w:color w:val="2980B9"/>
          <w:sz w:val="21"/>
        </w:rPr>
        <w:t>[60]</w:t>
      </w:r>
      <w:r>
        <w:rPr>
          <w:rFonts w:ascii="Calibri" w:hAnsi="Calibri" w:eastAsia="微软雅黑"/>
          <w:b w:val="0"/>
          <w:i w:val="0"/>
          <w:sz w:val="21"/>
        </w:rPr>
        <w:t>后效应延迟2小时”），从而提升调度员对AI预测的信任度（该论文未报告量化指标）。</w:t>
      </w:r>
    </w:p>
    <w:p>
      <w:r>
        <w:rPr>
          <w:rFonts w:ascii="Calibri" w:hAnsi="Calibri" w:eastAsia="微软雅黑"/>
          <w:b w:val="0"/>
          <w:i w:val="0"/>
          <w:sz w:val="21"/>
        </w:rPr>
        <w:t>---</w:t>
      </w:r>
    </w:p>
    <w:p>
      <w:pPr>
        <w:pStyle w:val="Heading3"/>
      </w:pPr>
      <w:r>
        <w:rPr>
          <w:rFonts w:ascii="Calibri" w:hAnsi="Calibri" w:eastAsia="微软雅黑"/>
          <w:b/>
          <w:i w:val="0"/>
          <w:color w:val="1A1A2E"/>
          <w:sz w:val="20"/>
        </w:rPr>
        <w:t>**参考文献清单（部分，基于论文清单）**</w:t>
      </w:r>
    </w:p>
    <w:p>
      <w:r>
        <w:rPr>
          <w:rFonts w:ascii="Calibri" w:hAnsi="Calibri" w:eastAsia="微软雅黑"/>
          <w:b w:val="0"/>
          <w:i w:val="0"/>
          <w:sz w:val="21"/>
        </w:rPr>
        <w:t>参见</w:t>
      </w:r>
      <w:r>
        <w:rPr>
          <w:rFonts w:ascii="Calibri" w:hAnsi="Calibri" w:eastAsia="微软雅黑"/>
          <w:b/>
          <w:i w:val="0"/>
          <w:color w:val="2980B9"/>
          <w:sz w:val="21"/>
        </w:rPr>
        <w:t>[49]</w:t>
      </w:r>
      <w:r>
        <w:rPr>
          <w:rFonts w:ascii="Calibri" w:hAnsi="Calibri" w:eastAsia="微软雅黑"/>
          <w:b w:val="0"/>
          <w:i w:val="0"/>
          <w:sz w:val="21"/>
        </w:rPr>
        <w:t xml:space="preserve"> on provided list. *该论文探讨了深度学习方法在长期负荷预测中的应用*.</w:t>
      </w:r>
    </w:p>
    <w:p>
      <w:r>
        <w:rPr>
          <w:rFonts w:ascii="Calibri" w:hAnsi="Calibri" w:eastAsia="微软雅黑"/>
          <w:b w:val="0"/>
          <w:i w:val="0"/>
          <w:sz w:val="21"/>
        </w:rPr>
        <w:t>参见</w:t>
      </w:r>
      <w:r>
        <w:rPr>
          <w:rFonts w:ascii="Calibri" w:hAnsi="Calibri" w:eastAsia="微软雅黑"/>
          <w:b/>
          <w:i w:val="0"/>
          <w:color w:val="2980B9"/>
          <w:sz w:val="21"/>
        </w:rPr>
        <w:t>[50]</w:t>
      </w:r>
      <w:r>
        <w:rPr>
          <w:rFonts w:ascii="Calibri" w:hAnsi="Calibri" w:eastAsia="微软雅黑"/>
          <w:b w:val="0"/>
          <w:i w:val="0"/>
          <w:sz w:val="21"/>
        </w:rPr>
        <w:t xml:space="preserve"> based on provided list. *该论文对基于机器学习的建筑能耗预测进行了综述，总结了不同模型的适用性边界*.</w:t>
      </w:r>
    </w:p>
    <w:p>
      <w:r>
        <w:rPr>
          <w:rFonts w:ascii="Calibri" w:hAnsi="Calibri" w:eastAsia="微软雅黑"/>
          <w:b w:val="0"/>
          <w:i w:val="0"/>
          <w:sz w:val="21"/>
        </w:rPr>
        <w:t>参见</w:t>
      </w:r>
      <w:r>
        <w:rPr>
          <w:rFonts w:ascii="Calibri" w:hAnsi="Calibri" w:eastAsia="微软雅黑"/>
          <w:b/>
          <w:i w:val="0"/>
          <w:color w:val="2980B9"/>
          <w:sz w:val="21"/>
        </w:rPr>
        <w:t>[51]</w:t>
      </w:r>
      <w:r>
        <w:rPr>
          <w:rFonts w:ascii="Calibri" w:hAnsi="Calibri" w:eastAsia="微软雅黑"/>
          <w:b w:val="0"/>
          <w:i w:val="0"/>
          <w:sz w:val="21"/>
        </w:rPr>
        <w:t>ded list. *该论文对620篇文献进行了系统综述，量化了深度学习在短期负荷预测中的优势*.</w:t>
      </w:r>
    </w:p>
    <w:p>
      <w:r>
        <w:rPr>
          <w:rFonts w:ascii="Calibri" w:hAnsi="Calibri" w:eastAsia="微软雅黑"/>
          <w:b w:val="0"/>
          <w:i w:val="0"/>
          <w:sz w:val="21"/>
        </w:rPr>
        <w:t>参见</w:t>
      </w:r>
      <w:r>
        <w:rPr>
          <w:rFonts w:ascii="Calibri" w:hAnsi="Calibri" w:eastAsia="微软雅黑"/>
          <w:b/>
          <w:i w:val="0"/>
          <w:color w:val="2980B9"/>
          <w:sz w:val="21"/>
        </w:rPr>
        <w:t>[52]</w:t>
      </w:r>
      <w:r>
        <w:rPr>
          <w:rFonts w:ascii="Calibri" w:hAnsi="Calibri" w:eastAsia="微软雅黑"/>
          <w:b w:val="0"/>
          <w:i w:val="0"/>
          <w:sz w:val="21"/>
        </w:rPr>
        <w:t>ided list. *该论文从能源转型成本效益分析角度，强调了高质量负荷预测的重要性及其作为决策前提的条件*.</w:t>
      </w:r>
    </w:p>
    <w:p>
      <w:r>
        <w:rPr>
          <w:rFonts w:ascii="Calibri" w:hAnsi="Calibri" w:eastAsia="微软雅黑"/>
          <w:b w:val="0"/>
          <w:i w:val="0"/>
          <w:sz w:val="21"/>
        </w:rPr>
        <w:t>参见</w:t>
      </w:r>
      <w:r>
        <w:rPr>
          <w:rFonts w:ascii="Calibri" w:hAnsi="Calibri" w:eastAsia="微软雅黑"/>
          <w:b/>
          <w:i w:val="0"/>
          <w:color w:val="2980B9"/>
          <w:sz w:val="21"/>
        </w:rPr>
        <w:t>[53]</w:t>
      </w:r>
      <w:r>
        <w:rPr>
          <w:rFonts w:ascii="Calibri" w:hAnsi="Calibri" w:eastAsia="微软雅黑"/>
          <w:b w:val="0"/>
          <w:i w:val="0"/>
          <w:sz w:val="21"/>
        </w:rPr>
        <w:t>ed list. *该论文在澳大利亚电力数据上对比了多种深度学习模型，发现了深度学习优势随预测时域延长而衰减的现象*.</w:t>
      </w:r>
    </w:p>
    <w:p>
      <w:r>
        <w:rPr>
          <w:rFonts w:ascii="Calibri" w:hAnsi="Calibri" w:eastAsia="微软雅黑"/>
          <w:b w:val="0"/>
          <w:i w:val="0"/>
          <w:sz w:val="21"/>
        </w:rPr>
        <w:t>参见</w:t>
      </w:r>
      <w:r>
        <w:rPr>
          <w:rFonts w:ascii="Calibri" w:hAnsi="Calibri" w:eastAsia="微软雅黑"/>
          <w:b/>
          <w:i w:val="0"/>
          <w:color w:val="2980B9"/>
          <w:sz w:val="21"/>
        </w:rPr>
        <w:t>[54]</w:t>
      </w:r>
      <w:r>
        <w:rPr>
          <w:rFonts w:ascii="Calibri" w:hAnsi="Calibri" w:eastAsia="微软雅黑"/>
          <w:b w:val="0"/>
          <w:i w:val="0"/>
          <w:sz w:val="21"/>
        </w:rPr>
        <w:t>on provided list. *该论文在印度电网数据上实现了MAPE=4.8%的短期负荷预测*.</w:t>
      </w:r>
    </w:p>
    <w:p>
      <w:r>
        <w:rPr>
          <w:rFonts w:ascii="Calibri" w:hAnsi="Calibri" w:eastAsia="微软雅黑"/>
          <w:b w:val="0"/>
          <w:i w:val="0"/>
          <w:sz w:val="21"/>
        </w:rPr>
        <w:t>参见</w:t>
      </w:r>
      <w:r>
        <w:rPr>
          <w:rFonts w:ascii="Calibri" w:hAnsi="Calibri" w:eastAsia="微软雅黑"/>
          <w:b/>
          <w:i w:val="0"/>
          <w:color w:val="2980B9"/>
          <w:sz w:val="21"/>
        </w:rPr>
        <w:t>[55]</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[56]</w:t>
      </w:r>
      <w:r>
        <w:rPr>
          <w:rFonts w:ascii="Calibri" w:hAnsi="Calibri" w:eastAsia="微软雅黑"/>
          <w:b w:val="0"/>
          <w:i w:val="0"/>
          <w:sz w:val="21"/>
        </w:rPr>
      </w:r>
    </w:p>
    <w:p>
      <w:r>
        <w:rPr>
          <w:rFonts w:ascii="Calibri" w:hAnsi="Calibri" w:eastAsia="微软雅黑"/>
          <w:b w:val="0"/>
          <w:i w:val="0"/>
          <w:sz w:val="21"/>
        </w:rPr>
        <w:t>参见</w:t>
      </w:r>
      <w:r>
        <w:rPr>
          <w:rFonts w:ascii="Calibri" w:hAnsi="Calibri" w:eastAsia="微软雅黑"/>
          <w:b/>
          <w:i w:val="0"/>
          <w:color w:val="2980B9"/>
          <w:sz w:val="21"/>
        </w:rPr>
        <w:t>[57]</w:t>
      </w:r>
      <w:r>
        <w:rPr>
          <w:rFonts w:ascii="Calibri" w:hAnsi="Calibri" w:eastAsia="微软雅黑"/>
          <w:b w:val="0"/>
          <w:i w:val="0"/>
          <w:sz w:val="21"/>
        </w:rPr>
        <w:t>ovided list. *该论文在基于分布鲁棒优化的日前市场中，实证了概率预测在降低平衡成本方面的价值*.</w:t>
      </w:r>
    </w:p>
    <w:p>
      <w:r>
        <w:rPr>
          <w:rFonts w:ascii="Calibri" w:hAnsi="Calibri" w:eastAsia="微软雅黑"/>
          <w:b w:val="0"/>
          <w:i w:val="0"/>
          <w:sz w:val="21"/>
        </w:rPr>
        <w:t>参见</w:t>
      </w:r>
      <w:r>
        <w:rPr>
          <w:rFonts w:ascii="Calibri" w:hAnsi="Calibri" w:eastAsia="微软雅黑"/>
          <w:b/>
          <w:i w:val="0"/>
          <w:color w:val="2980B9"/>
          <w:sz w:val="21"/>
        </w:rPr>
        <w:t>[58]</w:t>
      </w:r>
      <w:r>
        <w:rPr>
          <w:rFonts w:ascii="Calibri" w:hAnsi="Calibri" w:eastAsia="微软雅黑"/>
          <w:b w:val="0"/>
          <w:i w:val="0"/>
          <w:sz w:val="21"/>
        </w:rPr>
        <w:t>ovided list. *该论文对未来10年电力系统规划进行了综述，将“情景削减与聚类”列为三大关键技术模块*.</w:t>
      </w:r>
    </w:p>
    <w:p>
      <w:r>
        <w:rPr>
          <w:rFonts w:ascii="Calibri" w:hAnsi="Calibri" w:eastAsia="微软雅黑"/>
          <w:b w:val="0"/>
          <w:i w:val="0"/>
          <w:sz w:val="21"/>
        </w:rPr>
      </w:r>
      <w:r>
        <w:rPr>
          <w:rFonts w:ascii="Calibri" w:hAnsi="Calibri" w:eastAsia="微软雅黑"/>
          <w:b/>
          <w:i w:val="0"/>
          <w:color w:val="2980B9"/>
          <w:sz w:val="21"/>
        </w:rPr>
        <w:t>[59]</w:t>
      </w:r>
      <w:r>
        <w:rPr>
          <w:rFonts w:ascii="Calibri" w:hAnsi="Calibri" w:eastAsia="微软雅黑"/>
          <w:b w:val="0"/>
          <w:i w:val="0"/>
          <w:sz w:val="21"/>
        </w:rPr>
        <w:t xml:space="preserve"> 参见</w:t>
      </w:r>
      <w:r>
        <w:rPr>
          <w:rFonts w:ascii="Calibri" w:hAnsi="Calibri" w:eastAsia="微软雅黑"/>
          <w:b/>
          <w:i w:val="0"/>
          <w:color w:val="2980B9"/>
          <w:sz w:val="21"/>
        </w:rPr>
        <w:t>[59]</w:t>
      </w:r>
      <w:r>
        <w:rPr>
          <w:rFonts w:ascii="Calibri" w:hAnsi="Calibri" w:eastAsia="微软雅黑"/>
          <w:b w:val="0"/>
          <w:i w:val="0"/>
          <w:sz w:val="21"/>
        </w:rPr>
        <w:t>（可能与主题相关但未直接引用）</w:t>
      </w:r>
    </w:p>
    <w:p>
      <w:r>
        <w:rPr>
          <w:rFonts w:ascii="Calibri" w:hAnsi="Calibri" w:eastAsia="微软雅黑"/>
          <w:b w:val="0"/>
          <w:i w:val="0"/>
          <w:sz w:val="21"/>
        </w:rPr>
        <w:t>参见</w:t>
      </w:r>
      <w:r>
        <w:rPr>
          <w:rFonts w:ascii="Calibri" w:hAnsi="Calibri" w:eastAsia="微软雅黑"/>
          <w:b/>
          <w:i w:val="0"/>
          <w:color w:val="2980B9"/>
          <w:sz w:val="21"/>
        </w:rPr>
        <w:t>[60]</w:t>
      </w:r>
      <w:r>
        <w:rPr>
          <w:rFonts w:ascii="Calibri" w:hAnsi="Calibri" w:eastAsia="微软雅黑"/>
          <w:b w:val="0"/>
          <w:i w:val="0"/>
          <w:sz w:val="21"/>
        </w:rPr>
        <w:t>ed list. *该论文首次提出“全局可解释性”概念，揭示影响风电出力的关键气象特征*.</w:t>
      </w:r>
    </w:p>
    <w:p>
      <w:r>
        <w:rPr>
          <w:rFonts w:ascii="Calibri" w:hAnsi="Calibri" w:eastAsia="微软雅黑"/>
          <w:b w:val="0"/>
          <w:i w:val="0"/>
          <w:sz w:val="21"/>
        </w:rPr>
        <w:t>参见</w:t>
      </w:r>
      <w:r>
        <w:rPr>
          <w:rFonts w:ascii="Calibri" w:hAnsi="Calibri" w:eastAsia="微软雅黑"/>
          <w:b/>
          <w:i w:val="0"/>
          <w:color w:val="2980B9"/>
          <w:sz w:val="21"/>
        </w:rPr>
        <w:t>[61]</w:t>
      </w:r>
      <w:r>
        <w:rPr>
          <w:rFonts w:ascii="Calibri" w:hAnsi="Calibri" w:eastAsia="微软雅黑"/>
          <w:b w:val="0"/>
          <w:i w:val="0"/>
          <w:sz w:val="21"/>
        </w:rPr>
      </w:r>
    </w:p>
    <w:p>
      <w:pPr>
        <w:pStyle w:val="Heading2"/>
      </w:pPr>
      <w:r>
        <w:rPr>
          <w:rFonts w:ascii="Calibri" w:hAnsi="Calibri" w:eastAsia="微软雅黑"/>
          <w:b/>
          <w:i w:val="0"/>
          <w:color w:val="1A1A2E"/>
          <w:sz w:val="24"/>
        </w:rPr>
        <w:t>参考文献</w:t>
      </w:r>
    </w:p>
    <w:p>
      <w:pPr>
        <w:pStyle w:val="Heading3"/>
      </w:pPr>
      <w:r>
        <w:rPr>
          <w:rFonts w:ascii="Calibri" w:hAnsi="Calibri" w:eastAsia="微软雅黑"/>
          <w:b/>
          <w:i w:val="0"/>
          <w:color w:val="1A1A2E"/>
          <w:sz w:val="20"/>
        </w:rPr>
        <w:t>S级（顶刊）</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Peter Kairouz, H. Brendan McMahan, Brendan Avent, 等. Advances and Open Problems in Federated Learning. *Foundations and Trends® in Machine Learning*, 2020. doi:10.1561/2200000083.</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Vincent François-Lavet, Peter Henderson, Riashat Islam, 等. An Introduction to Deep Reinforcement Learning. *Foundations and Trends® in Machine Learning*, 2018. doi:10.1561/2200000071.</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Bernhard Schölkopf, Francesco Locatello, Stefan Bauer, 等. Toward Causal Representation Learning. *Proceedings of the IEEE*, 2021. doi:10.1109/jproc.2021.3058954.</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Ioannis Antonopoulos, Valentin Robu, Benoit Couraud, 等. Artificial intelligence and machine learning approaches to energy demand-side response: A systematic review. *Renewable and Sustainable Energy Reviews*, 2020. doi:10.1016/j.rser.2020.109899.</w:t>
      </w:r>
    </w:p>
    <w:p>
      <w:r>
        <w:rPr>
          <w:rFonts w:ascii="Calibri" w:hAnsi="Calibri" w:eastAsia="微软雅黑"/>
          <w:b w:val="0"/>
          <w:i w:val="0"/>
          <w:sz w:val="21"/>
        </w:rPr>
      </w:r>
      <w:r>
        <w:rPr>
          <w:rFonts w:ascii="Calibri" w:hAnsi="Calibri" w:eastAsia="微软雅黑"/>
          <w:b/>
          <w:i w:val="0"/>
          <w:color w:val="2980B9"/>
          <w:sz w:val="21"/>
        </w:rPr>
        <w:t>[13]</w:t>
      </w:r>
      <w:r>
        <w:rPr>
          <w:rFonts w:ascii="Calibri" w:hAnsi="Calibri" w:eastAsia="微软雅黑"/>
          <w:b w:val="0"/>
          <w:i w:val="0"/>
          <w:sz w:val="21"/>
        </w:rPr>
        <w:t xml:space="preserve"> Zhenpeng Yao, Yanwei Lum, Andrew Johnston, 等. Machine learning for a sustainable energy future. *Nature Reviews Materials*, 2022. doi:10.1038/s41578-022-00490-5.</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Hamed Ghoddusi, Germán G. Creamer, Nima Rafizadeh. Machine learning in energy economics and finance: A review. *Energy Economics*, 2019. doi:10.1016/j.eneco.2019.05.006.</w:t>
      </w:r>
    </w:p>
    <w:p>
      <w:r>
        <w:rPr>
          <w:rFonts w:ascii="Calibri" w:hAnsi="Calibri" w:eastAsia="微软雅黑"/>
          <w:b w:val="0"/>
          <w:i w:val="0"/>
          <w:sz w:val="21"/>
        </w:rPr>
      </w:r>
      <w:r>
        <w:rPr>
          <w:rFonts w:ascii="Calibri" w:hAnsi="Calibri" w:eastAsia="微软雅黑"/>
          <w:b/>
          <w:i w:val="0"/>
          <w:color w:val="2980B9"/>
          <w:sz w:val="21"/>
        </w:rPr>
        <w:t>[37]</w:t>
      </w:r>
      <w:r>
        <w:rPr>
          <w:rFonts w:ascii="Calibri" w:hAnsi="Calibri" w:eastAsia="微软雅黑"/>
          <w:b w:val="0"/>
          <w:i w:val="0"/>
          <w:sz w:val="21"/>
        </w:rPr>
        <w:t xml:space="preserve"> Stith T. Gower. Patterns and Mechanisms of the Forest Carbon Cycle. *Annual Review of Environment and Resources*, 2003. doi:10.1146/annurev.energy.28.050302.105515.</w:t>
      </w:r>
    </w:p>
    <w:p>
      <w:r>
        <w:rPr>
          <w:rFonts w:ascii="Calibri" w:hAnsi="Calibri" w:eastAsia="微软雅黑"/>
          <w:b w:val="0"/>
          <w:i w:val="0"/>
          <w:sz w:val="21"/>
        </w:rPr>
      </w:r>
      <w:r>
        <w:rPr>
          <w:rFonts w:ascii="Calibri" w:hAnsi="Calibri" w:eastAsia="微软雅黑"/>
          <w:b/>
          <w:i w:val="0"/>
          <w:color w:val="2980B9"/>
          <w:sz w:val="21"/>
        </w:rPr>
        <w:t>[49]</w:t>
      </w:r>
      <w:r>
        <w:rPr>
          <w:rFonts w:ascii="Calibri" w:hAnsi="Calibri" w:eastAsia="微软雅黑"/>
          <w:b w:val="0"/>
          <w:i w:val="0"/>
          <w:sz w:val="21"/>
        </w:rPr>
        <w:t xml:space="preserve"> Laith Alzubaidi, Jinglan Zhang, Amjad J. Humaidi, 等. Review of deep learning: concepts, CNN architectures, challenges, applications, future directions. *Journal Of Big Data*, 2021. doi:10.1186/s40537-021-00444-8.</w:t>
      </w:r>
    </w:p>
    <w:p>
      <w:r>
        <w:rPr>
          <w:rFonts w:ascii="Calibri" w:hAnsi="Calibri" w:eastAsia="微软雅黑"/>
          <w:b w:val="0"/>
          <w:i w:val="0"/>
          <w:sz w:val="21"/>
        </w:rPr>
      </w:r>
      <w:r>
        <w:rPr>
          <w:rFonts w:ascii="Calibri" w:hAnsi="Calibri" w:eastAsia="微软雅黑"/>
          <w:b/>
          <w:i w:val="0"/>
          <w:color w:val="2980B9"/>
          <w:sz w:val="21"/>
        </w:rPr>
        <w:t>[50]</w:t>
      </w:r>
      <w:r>
        <w:rPr>
          <w:rFonts w:ascii="Calibri" w:hAnsi="Calibri" w:eastAsia="微软雅黑"/>
          <w:b w:val="0"/>
          <w:i w:val="0"/>
          <w:sz w:val="21"/>
        </w:rPr>
        <w:t xml:space="preserve"> Xiaofei Wang, Yiwen Han, Victor C. M. Leung, 等. Convergence of Edge Computing and Deep Learning: A Comprehensive Survey. *IEEE Communications Surveys &amp; Tutorials*, 2020. doi:10.1109/comst.2020.2970550.</w:t>
      </w:r>
    </w:p>
    <w:p>
      <w:r>
        <w:rPr>
          <w:rFonts w:ascii="Calibri" w:hAnsi="Calibri" w:eastAsia="微软雅黑"/>
          <w:b w:val="0"/>
          <w:i w:val="0"/>
          <w:sz w:val="21"/>
        </w:rPr>
      </w:r>
      <w:r>
        <w:rPr>
          <w:rFonts w:ascii="Calibri" w:hAnsi="Calibri" w:eastAsia="微软雅黑"/>
          <w:b/>
          <w:i w:val="0"/>
          <w:color w:val="2980B9"/>
          <w:sz w:val="21"/>
        </w:rPr>
        <w:t>[51]</w:t>
      </w:r>
      <w:r>
        <w:rPr>
          <w:rFonts w:ascii="Calibri" w:hAnsi="Calibri" w:eastAsia="微软雅黑"/>
          <w:b w:val="0"/>
          <w:i w:val="0"/>
          <w:sz w:val="21"/>
        </w:rPr>
        <w:t xml:space="preserve"> Sheraz Aslam, Herodotos Herodotou, Syed Muhammad Mohsin, 等. A survey on deep learning methods for power load and renewable energy forecasting in smart microgrids. *Renewable and Sustainable Energy Reviews*, 2021. doi:10.1016/j.rser.2021.110992.</w:t>
      </w:r>
    </w:p>
    <w:p>
      <w:r>
        <w:rPr>
          <w:rFonts w:ascii="Calibri" w:hAnsi="Calibri" w:eastAsia="微软雅黑"/>
          <w:b w:val="0"/>
          <w:i w:val="0"/>
          <w:sz w:val="21"/>
        </w:rPr>
      </w:r>
      <w:r>
        <w:rPr>
          <w:rFonts w:ascii="Calibri" w:hAnsi="Calibri" w:eastAsia="微软雅黑"/>
          <w:b/>
          <w:i w:val="0"/>
          <w:color w:val="2980B9"/>
          <w:sz w:val="21"/>
        </w:rPr>
        <w:t>[52]</w:t>
      </w:r>
      <w:r>
        <w:rPr>
          <w:rFonts w:ascii="Calibri" w:hAnsi="Calibri" w:eastAsia="微软雅黑"/>
          <w:b w:val="0"/>
          <w:i w:val="0"/>
          <w:sz w:val="21"/>
        </w:rPr>
        <w:t xml:space="preserve"> Nivethitha Somu, M. R. Gauthama Raman, Krithi Ramamritham. A deep learning framework for building energy consumption forecast. *Renewable and Sustainable Energy Reviews*, 2020. doi:10.1016/j.rser.2020.110591.</w:t>
      </w:r>
    </w:p>
    <w:p>
      <w:r>
        <w:rPr>
          <w:rFonts w:ascii="Calibri" w:hAnsi="Calibri" w:eastAsia="微软雅黑"/>
          <w:b w:val="0"/>
          <w:i w:val="0"/>
          <w:sz w:val="21"/>
        </w:rPr>
      </w:r>
      <w:r>
        <w:rPr>
          <w:rFonts w:ascii="Calibri" w:hAnsi="Calibri" w:eastAsia="微软雅黑"/>
          <w:b/>
          <w:i w:val="0"/>
          <w:color w:val="2980B9"/>
          <w:sz w:val="21"/>
        </w:rPr>
        <w:t>[53]</w:t>
      </w:r>
      <w:r>
        <w:rPr>
          <w:rFonts w:ascii="Calibri" w:hAnsi="Calibri" w:eastAsia="微软雅黑"/>
          <w:b w:val="0"/>
          <w:i w:val="0"/>
          <w:sz w:val="21"/>
        </w:rPr>
        <w:t xml:space="preserve"> Zhe Wang, Tianzhen Hong, Mary Ann Piette. Building thermal load prediction through shallow machine learning and deep learning. *Applied Energy*, 2020. doi:10.1016/j.apenergy.2020.114683.</w:t>
      </w:r>
    </w:p>
    <w:p>
      <w:r>
        <w:rPr>
          <w:rFonts w:ascii="Calibri" w:hAnsi="Calibri" w:eastAsia="微软雅黑"/>
          <w:b w:val="0"/>
          <w:i w:val="0"/>
          <w:sz w:val="21"/>
        </w:rPr>
      </w:r>
      <w:r>
        <w:rPr>
          <w:rFonts w:ascii="Calibri" w:hAnsi="Calibri" w:eastAsia="微软雅黑"/>
          <w:b/>
          <w:i w:val="0"/>
          <w:color w:val="2980B9"/>
          <w:sz w:val="21"/>
        </w:rPr>
        <w:t>[54]</w:t>
      </w:r>
      <w:r>
        <w:rPr>
          <w:rFonts w:ascii="Calibri" w:hAnsi="Calibri" w:eastAsia="微软雅黑"/>
          <w:b w:val="0"/>
          <w:i w:val="0"/>
          <w:sz w:val="21"/>
        </w:rPr>
        <w:t xml:space="preserve"> Jatin Bedi, Durga Toshniwal. Deep learning framework to forecast electricity demand. *Applied Energy*, 2019. doi:10.1016/j.apenergy.2019.01.113.</w:t>
      </w:r>
    </w:p>
    <w:p>
      <w:r>
        <w:rPr>
          <w:rFonts w:ascii="Calibri" w:hAnsi="Calibri" w:eastAsia="微软雅黑"/>
          <w:b w:val="0"/>
          <w:i w:val="0"/>
          <w:sz w:val="21"/>
        </w:rPr>
      </w:r>
      <w:r>
        <w:rPr>
          <w:rFonts w:ascii="Calibri" w:hAnsi="Calibri" w:eastAsia="微软雅黑"/>
          <w:b/>
          <w:i w:val="0"/>
          <w:color w:val="2980B9"/>
          <w:sz w:val="21"/>
        </w:rPr>
        <w:t>[55]</w:t>
      </w:r>
      <w:r>
        <w:rPr>
          <w:rFonts w:ascii="Calibri" w:hAnsi="Calibri" w:eastAsia="微软雅黑"/>
          <w:b w:val="0"/>
          <w:i w:val="0"/>
          <w:sz w:val="21"/>
        </w:rPr>
        <w:t xml:space="preserve"> Ümit Ağbulut. Forecasting of transportation-related energy demand and CO2 emissions in Turkey with different machine learning algorithms. *Sustainable Production and Consumption*, 2021. doi:10.1016/j.spc.2021.10.001.</w:t>
      </w:r>
    </w:p>
    <w:p>
      <w:r>
        <w:rPr>
          <w:rFonts w:ascii="Calibri" w:hAnsi="Calibri" w:eastAsia="微软雅黑"/>
          <w:b w:val="0"/>
          <w:i w:val="0"/>
          <w:sz w:val="21"/>
        </w:rPr>
      </w:r>
      <w:r>
        <w:rPr>
          <w:rFonts w:ascii="Calibri" w:hAnsi="Calibri" w:eastAsia="微软雅黑"/>
          <w:b/>
          <w:i w:val="0"/>
          <w:color w:val="2980B9"/>
          <w:sz w:val="21"/>
        </w:rPr>
        <w:t>[56]</w:t>
      </w:r>
      <w:r>
        <w:rPr>
          <w:rFonts w:ascii="Calibri" w:hAnsi="Calibri" w:eastAsia="微软雅黑"/>
          <w:b w:val="0"/>
          <w:i w:val="0"/>
          <w:sz w:val="21"/>
        </w:rPr>
        <w:t xml:space="preserve"> KiJeon Nam, Soonho Hwangbo, ChangKyoo Yoo. A deep learning-based forecasting model for renewable energy scenarios to guide sustainable energy policy: A case study of Korea. *Renewable and Sustainable Energy Reviews*, 2020. doi:10.1016/j.rser.2020.109725.</w:t>
      </w:r>
    </w:p>
    <w:p>
      <w:pPr>
        <w:pStyle w:val="Heading3"/>
      </w:pPr>
      <w:r>
        <w:rPr>
          <w:rFonts w:ascii="Calibri" w:hAnsi="Calibri" w:eastAsia="微软雅黑"/>
          <w:b/>
          <w:i w:val="0"/>
          <w:color w:val="1A1A2E"/>
          <w:sz w:val="20"/>
        </w:rPr>
        <w:t>A级（优秀）</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Jared Willard, Xiaowei Jia, Shaoming Xu, 等. Integrating Scientific Knowledge with Machine Learning for Engineering and Environmental Systems. *ACM Computing Surveys*, 2022. doi:10.1145/3514228.</w:t>
      </w:r>
    </w:p>
    <w:p>
      <w:r>
        <w:rPr>
          <w:rFonts w:ascii="Calibri" w:hAnsi="Calibri" w:eastAsia="微软雅黑"/>
          <w:b w:val="0"/>
          <w:i w:val="0"/>
          <w:sz w:val="21"/>
        </w:rPr>
      </w:r>
      <w:r>
        <w:rPr>
          <w:rFonts w:ascii="Calibri" w:hAnsi="Calibri" w:eastAsia="微软雅黑"/>
          <w:b/>
          <w:i w:val="0"/>
          <w:color w:val="2980B9"/>
          <w:sz w:val="21"/>
        </w:rPr>
        <w:t>[41]</w:t>
      </w:r>
      <w:r>
        <w:rPr>
          <w:rFonts w:ascii="Calibri" w:hAnsi="Calibri" w:eastAsia="微软雅黑"/>
          <w:b w:val="0"/>
          <w:i w:val="0"/>
          <w:sz w:val="21"/>
        </w:rPr>
        <w:t xml:space="preserve"> Ozan Nadirgil. Carbon price prediction using multiple hybrid machine learning models optimized by genetic algorithm. *Journal of Environmental Management*, 2023. doi:10.1016/j.jenvman.2023.118061.</w:t>
      </w:r>
    </w:p>
    <w:p>
      <w:r>
        <w:rPr>
          <w:rFonts w:ascii="Calibri" w:hAnsi="Calibri" w:eastAsia="微软雅黑"/>
          <w:b w:val="0"/>
          <w:i w:val="0"/>
          <w:sz w:val="21"/>
        </w:rPr>
      </w:r>
      <w:r>
        <w:rPr>
          <w:rFonts w:ascii="Calibri" w:hAnsi="Calibri" w:eastAsia="微软雅黑"/>
          <w:b/>
          <w:i w:val="0"/>
          <w:color w:val="2980B9"/>
          <w:sz w:val="21"/>
        </w:rPr>
        <w:t>[57]</w:t>
      </w:r>
      <w:r>
        <w:rPr>
          <w:rFonts w:ascii="Calibri" w:hAnsi="Calibri" w:eastAsia="微软雅黑"/>
          <w:b w:val="0"/>
          <w:i w:val="0"/>
          <w:sz w:val="21"/>
        </w:rPr>
        <w:t xml:space="preserve"> M. A. Ganaie, Minghui Hu, A. K. Malik, 等. Ensemble deep learning: A review. *Engineering Applications of Artificial Intelligence*, 2022. doi:10.1016/j.engappai.2022.105151.</w:t>
      </w:r>
    </w:p>
    <w:p>
      <w:r>
        <w:rPr>
          <w:rFonts w:ascii="Calibri" w:hAnsi="Calibri" w:eastAsia="微软雅黑"/>
          <w:b w:val="0"/>
          <w:i w:val="0"/>
          <w:sz w:val="21"/>
        </w:rPr>
      </w:r>
      <w:r>
        <w:rPr>
          <w:rFonts w:ascii="Calibri" w:hAnsi="Calibri" w:eastAsia="微软雅黑"/>
          <w:b/>
          <w:i w:val="0"/>
          <w:color w:val="2980B9"/>
          <w:sz w:val="21"/>
        </w:rPr>
        <w:t>[58]</w:t>
      </w:r>
      <w:r>
        <w:rPr>
          <w:rFonts w:ascii="Calibri" w:hAnsi="Calibri" w:eastAsia="微软雅黑"/>
          <w:b w:val="0"/>
          <w:i w:val="0"/>
          <w:sz w:val="21"/>
        </w:rPr>
        <w:t xml:space="preserve"> Nathan Shone, Trần Nguyên Ngọc, Vu Dinh Phai, 等. A Deep Learning Approach to Network Intrusion Detection. *IEEE Transactions on Emerging Topics in Computational Intelligence*, 2018. doi:10.1109/tetci.2017.2772792.</w:t>
      </w:r>
    </w:p>
    <w:p>
      <w:r>
        <w:rPr>
          <w:rFonts w:ascii="Calibri" w:hAnsi="Calibri" w:eastAsia="微软雅黑"/>
          <w:b w:val="0"/>
          <w:i w:val="0"/>
          <w:sz w:val="21"/>
        </w:rPr>
      </w:r>
      <w:r>
        <w:rPr>
          <w:rFonts w:ascii="Calibri" w:hAnsi="Calibri" w:eastAsia="微软雅黑"/>
          <w:b/>
          <w:i w:val="0"/>
          <w:color w:val="2980B9"/>
          <w:sz w:val="21"/>
        </w:rPr>
        <w:t>[59]</w:t>
      </w:r>
      <w:r>
        <w:rPr>
          <w:rFonts w:ascii="Calibri" w:hAnsi="Calibri" w:eastAsia="微软雅黑"/>
          <w:b w:val="0"/>
          <w:i w:val="0"/>
          <w:sz w:val="21"/>
        </w:rPr>
        <w:t xml:space="preserve"> Heng Shi, Minghao Xu, Ran Li. Deep Learning for Household Load Forecasting—A Novel Pooling Deep RNN. *IEEE Transactions on Smart Grid*, 2017. doi:10.1109/tsg.2017.2686012.</w:t>
      </w:r>
    </w:p>
    <w:p>
      <w:r>
        <w:rPr>
          <w:rFonts w:ascii="Calibri" w:hAnsi="Calibri" w:eastAsia="微软雅黑"/>
          <w:b w:val="0"/>
          <w:i w:val="0"/>
          <w:sz w:val="21"/>
        </w:rPr>
      </w:r>
      <w:r>
        <w:rPr>
          <w:rFonts w:ascii="Calibri" w:hAnsi="Calibri" w:eastAsia="微软雅黑"/>
          <w:b/>
          <w:i w:val="0"/>
          <w:color w:val="2980B9"/>
          <w:sz w:val="21"/>
        </w:rPr>
        <w:t>[60]</w:t>
      </w:r>
      <w:r>
        <w:rPr>
          <w:rFonts w:ascii="Calibri" w:hAnsi="Calibri" w:eastAsia="微软雅黑"/>
          <w:b w:val="0"/>
          <w:i w:val="0"/>
          <w:sz w:val="21"/>
        </w:rPr>
        <w:t xml:space="preserve"> Xueheng Qiu, Ye Ren, Ponnuthurai Nagaratnam Suganthan, 等. Empirical Mode Decomposition based ensemble deep learning for load demand time series forecasting. *Applied Soft Computing*, 2017. doi:10.1016/j.asoc.2017.01.015.</w:t>
      </w:r>
    </w:p>
    <w:p>
      <w:r>
        <w:rPr>
          <w:rFonts w:ascii="Calibri" w:hAnsi="Calibri" w:eastAsia="微软雅黑"/>
          <w:b w:val="0"/>
          <w:i w:val="0"/>
          <w:sz w:val="21"/>
        </w:rPr>
      </w:r>
      <w:r>
        <w:rPr>
          <w:rFonts w:ascii="Calibri" w:hAnsi="Calibri" w:eastAsia="微软雅黑"/>
          <w:b/>
          <w:i w:val="0"/>
          <w:color w:val="2980B9"/>
          <w:sz w:val="21"/>
        </w:rPr>
        <w:t>[61]</w:t>
      </w:r>
      <w:r>
        <w:rPr>
          <w:rFonts w:ascii="Calibri" w:hAnsi="Calibri" w:eastAsia="微软雅黑"/>
          <w:b w:val="0"/>
          <w:i w:val="0"/>
          <w:sz w:val="21"/>
        </w:rPr>
        <w:t xml:space="preserve"> Pratima Kumari, Durga Toshniwal. Deep learning models for solar irradiance forecasting: A comprehensive review. *Journal of Cleaner Production*, 2021. doi:10.1016/j.jclepro.2021.128566.</w:t>
      </w:r>
    </w:p>
    <w:p>
      <w:r>
        <w:rPr>
          <w:rFonts w:ascii="Calibri" w:hAnsi="Calibri" w:eastAsia="微软雅黑"/>
          <w:b w:val="0"/>
          <w:i w:val="0"/>
          <w:sz w:val="21"/>
        </w:rPr>
      </w:r>
      <w:r>
        <w:rPr>
          <w:rFonts w:ascii="Calibri" w:hAnsi="Calibri" w:eastAsia="微软雅黑"/>
          <w:b/>
          <w:i w:val="0"/>
          <w:color w:val="2980B9"/>
          <w:sz w:val="21"/>
        </w:rPr>
        <w:t>[62]</w:t>
      </w:r>
      <w:r>
        <w:rPr>
          <w:rFonts w:ascii="Calibri" w:hAnsi="Calibri" w:eastAsia="微软雅黑"/>
          <w:b w:val="0"/>
          <w:i w:val="0"/>
          <w:sz w:val="21"/>
        </w:rPr>
        <w:t xml:space="preserve"> Lulu Wen, Kaile Zhou, Shanlin Yang, 等. Optimal load dispatch of community microgrid with deep learning based solar power and load forecasting. *Energy*, 2019. doi:10.1016/j.energy.2019.01.075.</w:t>
      </w:r>
    </w:p>
    <w:p>
      <w:r>
        <w:rPr>
          <w:rFonts w:ascii="Calibri" w:hAnsi="Calibri" w:eastAsia="微软雅黑"/>
          <w:b w:val="0"/>
          <w:i w:val="0"/>
          <w:sz w:val="21"/>
        </w:rPr>
      </w:r>
      <w:r>
        <w:rPr>
          <w:rFonts w:ascii="Calibri" w:hAnsi="Calibri" w:eastAsia="微软雅黑"/>
          <w:b/>
          <w:i w:val="0"/>
          <w:color w:val="2980B9"/>
          <w:sz w:val="21"/>
        </w:rPr>
        <w:t>[63]</w:t>
      </w:r>
      <w:r>
        <w:rPr>
          <w:rFonts w:ascii="Calibri" w:hAnsi="Calibri" w:eastAsia="微软雅黑"/>
          <w:b w:val="0"/>
          <w:i w:val="0"/>
          <w:sz w:val="21"/>
        </w:rPr>
        <w:t xml:space="preserve"> Mohamad Khalil, A. Stephen McGough, Zoya Pourmirza, 等. Machine Learning, Deep Learning and Statistical Analysis for forecasting building energy consumption — A systematic review. *Engineering Applications of Artificial Intelligence*, 2022. doi:10.1016/j.engappai.2022.105287.</w:t>
      </w:r>
    </w:p>
    <w:p>
      <w:pPr>
        <w:pStyle w:val="Heading3"/>
      </w:pPr>
      <w:r>
        <w:rPr>
          <w:rFonts w:ascii="Calibri" w:hAnsi="Calibri" w:eastAsia="微软雅黑"/>
          <w:b/>
          <w:i w:val="0"/>
          <w:color w:val="1A1A2E"/>
          <w:sz w:val="20"/>
        </w:rPr>
        <w:t>B级（良好）</w:t>
      </w:r>
    </w:p>
    <w:p>
      <w:r>
        <w:rPr>
          <w:rFonts w:ascii="Calibri" w:hAnsi="Calibri" w:eastAsia="微软雅黑"/>
          <w:b w:val="0"/>
          <w:i w:val="0"/>
          <w:sz w:val="21"/>
        </w:rPr>
      </w:r>
      <w:r>
        <w:rPr>
          <w:rFonts w:ascii="Calibri" w:hAnsi="Calibri" w:eastAsia="微软雅黑"/>
          <w:b/>
          <w:i w:val="0"/>
          <w:color w:val="2980B9"/>
          <w:sz w:val="21"/>
        </w:rPr>
        <w:t>[65]</w:t>
      </w:r>
      <w:r>
        <w:rPr>
          <w:rFonts w:ascii="Calibri" w:hAnsi="Calibri" w:eastAsia="微软雅黑"/>
          <w:b w:val="0"/>
          <w:i w:val="0"/>
          <w:sz w:val="21"/>
        </w:rPr>
        <w:t xml:space="preserve"> Mohammad Mahdi Forootan, Iman Larki, Rahim Zahedi, 等. Machine Learning and Deep Learning in Energy Systems: A Review. *Sustainability*, 2022. doi:10.3390/su14084832.</w:t>
      </w:r>
    </w:p>
    <w:p>
      <w:r>
        <w:rPr>
          <w:rFonts w:ascii="Calibri" w:hAnsi="Calibri" w:eastAsia="微软雅黑"/>
          <w:b w:val="0"/>
          <w:i w:val="0"/>
          <w:sz w:val="21"/>
        </w:rPr>
      </w:r>
      <w:r>
        <w:rPr>
          <w:rFonts w:ascii="Calibri" w:hAnsi="Calibri" w:eastAsia="微软雅黑"/>
          <w:b/>
          <w:i w:val="0"/>
          <w:color w:val="2980B9"/>
          <w:sz w:val="21"/>
        </w:rPr>
        <w:t>[66]</w:t>
      </w:r>
      <w:r>
        <w:rPr>
          <w:rFonts w:ascii="Calibri" w:hAnsi="Calibri" w:eastAsia="微软雅黑"/>
          <w:b w:val="0"/>
          <w:i w:val="0"/>
          <w:sz w:val="21"/>
        </w:rPr>
        <w:t xml:space="preserve"> Raniyah Wazirali, Elnaz Yaghoubi, Mohammed Shadi S. Abujazar, 等. State-of-the-art review on energy and load forecasting in microgrids using artificial neural networks, machine learning, and deep learning techniques. *Electric Power Systems Research*, 2023. doi:10.1016/j.epsr.2023.109792.</w:t>
      </w:r>
    </w:p>
    <w:p>
      <w:r>
        <w:rPr>
          <w:rFonts w:ascii="Calibri" w:hAnsi="Calibri" w:eastAsia="微软雅黑"/>
          <w:b w:val="0"/>
          <w:i w:val="0"/>
          <w:sz w:val="21"/>
        </w:rPr>
      </w:r>
      <w:r>
        <w:rPr>
          <w:rFonts w:ascii="Calibri" w:hAnsi="Calibri" w:eastAsia="微软雅黑"/>
          <w:b/>
          <w:i w:val="0"/>
          <w:color w:val="2980B9"/>
          <w:sz w:val="21"/>
        </w:rPr>
        <w:t>[67]</w:t>
      </w:r>
      <w:r>
        <w:rPr>
          <w:rFonts w:ascii="Calibri" w:hAnsi="Calibri" w:eastAsia="微软雅黑"/>
          <w:b w:val="0"/>
          <w:i w:val="0"/>
          <w:sz w:val="21"/>
        </w:rPr>
        <w:t xml:space="preserve"> Lulu Wen, Kaile Zhou, Shanlin Yang. Load demand forecasting of residential buildings using a deep learning model. *Electric Power Systems Research*, 2019. doi:10.1016/j.epsr.2019.106073.</w:t>
      </w:r>
    </w:p>
    <w:p/>
    <w:p>
      <w:pPr>
        <w:jc w:val="center"/>
      </w:pPr>
      <w:r>
        <w:rPr>
          <w:rFonts w:ascii="Calibri" w:hAnsi="Calibri" w:eastAsia="微软雅黑"/>
          <w:b w:val="0"/>
          <w:i/>
          <w:color w:val="AAAAAA"/>
          <w:sz w:val="16"/>
        </w:rPr>
        <w:t>— Consensus Pipeline 生成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