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i w:val="0"/>
          <w:color w:val="1A1A2E"/>
          <w:sz w:val="28"/>
        </w:rPr>
        <w:t>机器学习在能源经济学上的运用</w:t>
      </w:r>
    </w:p>
    <w:p>
      <w:pPr>
        <w:ind w:left="567"/>
      </w:pPr>
      <w:r>
        <w:rPr>
          <w:rFonts w:ascii="Calibri" w:hAnsi="Calibri" w:eastAsia="微软雅黑"/>
          <w:b w:val="0"/>
          <w:i/>
          <w:color w:val="555555"/>
          <w:sz w:val="21"/>
        </w:rPr>
        <w:t>学术动向综述 | Consensus Pipeline v5 | 2026年07月16日</w:t>
      </w:r>
    </w:p>
    <w:p>
      <w:pPr>
        <w:pStyle w:val="Heading2"/>
      </w:pPr>
      <w:r>
        <w:rPr>
          <w:rFonts w:ascii="Calibri" w:hAnsi="Calibri" w:eastAsia="微软雅黑"/>
          <w:b/>
          <w:i w:val="0"/>
          <w:color w:val="1A1A2E"/>
          <w:sz w:val="24"/>
        </w:rPr>
        <w:t>数据卡片</w:t>
      </w:r>
    </w:p>
    <w:tbl>
      <w:tblPr>
        <w:tblStyle w:val="LightGrid-Accent1"/>
        <w:tblW w:type="auto" w:w="0"/>
        <w:jc w:val="center"/>
        <w:tblLook w:firstColumn="1" w:firstRow="1" w:lastColumn="0" w:lastRow="0" w:noHBand="0" w:noVBand="1" w:val="04A0"/>
      </w:tblPr>
      <w:tblGrid>
        <w:gridCol w:w="4533"/>
        <w:gridCol w:w="4533"/>
      </w:tblGrid>
      <w:tr>
        <w:tc>
          <w:tcPr>
            <w:tcW w:type="dxa" w:w="4533"/>
          </w:tcPr>
          <w:p>
            <w:r/>
            <w:r>
              <w:rPr>
                <w:rFonts w:ascii="Calibri" w:hAnsi="Calibri" w:eastAsia="微软雅黑"/>
                <w:b/>
                <w:i w:val="0"/>
                <w:color w:val="FFFFFF"/>
                <w:sz w:val="19"/>
              </w:rPr>
              <w:t>指标</w:t>
            </w:r>
          </w:p>
        </w:tc>
        <w:tc>
          <w:tcPr>
            <w:tcW w:type="dxa" w:w="4533"/>
          </w:tcPr>
          <w:p>
            <w:r/>
            <w:r>
              <w:rPr>
                <w:rFonts w:ascii="Calibri" w:hAnsi="Calibri" w:eastAsia="微软雅黑"/>
                <w:b/>
                <w:i w:val="0"/>
                <w:color w:val="FFFFFF"/>
                <w:sz w:val="19"/>
              </w:rPr>
              <w:t>值</w:t>
            </w:r>
          </w:p>
        </w:tc>
      </w:tr>
      <w:tr>
        <w:tc>
          <w:tcPr>
            <w:tcW w:type="dxa" w:w="4533"/>
          </w:tcPr>
          <w:p>
            <w:r/>
            <w:r>
              <w:rPr>
                <w:rFonts w:ascii="Calibri" w:hAnsi="Calibri" w:eastAsia="微软雅黑"/>
                <w:b w:val="0"/>
                <w:i w:val="0"/>
                <w:sz w:val="18"/>
              </w:rPr>
              <w:t>检索论文数</w:t>
            </w:r>
          </w:p>
        </w:tc>
        <w:tc>
          <w:tcPr>
            <w:tcW w:type="dxa" w:w="4533"/>
          </w:tcPr>
          <w:p>
            <w:r/>
            <w:r>
              <w:rPr>
                <w:rFonts w:ascii="Calibri" w:hAnsi="Calibri" w:eastAsia="微软雅黑"/>
                <w:b w:val="0"/>
                <w:i w:val="0"/>
                <w:sz w:val="18"/>
              </w:rPr>
              <w:t>51</w:t>
            </w:r>
          </w:p>
        </w:tc>
      </w:tr>
      <w:tr>
        <w:tc>
          <w:tcPr>
            <w:tcW w:type="dxa" w:w="4533"/>
          </w:tcPr>
          <w:p>
            <w:r/>
            <w:r>
              <w:rPr>
                <w:rFonts w:ascii="Calibri" w:hAnsi="Calibri" w:eastAsia="微软雅黑"/>
                <w:b w:val="0"/>
                <w:i w:val="0"/>
                <w:sz w:val="18"/>
              </w:rPr>
              <w:t>S级</w:t>
            </w:r>
          </w:p>
        </w:tc>
        <w:tc>
          <w:tcPr>
            <w:tcW w:type="dxa" w:w="4533"/>
          </w:tcPr>
          <w:p>
            <w:r/>
            <w:r>
              <w:rPr>
                <w:rFonts w:ascii="Calibri" w:hAnsi="Calibri" w:eastAsia="微软雅黑"/>
                <w:b w:val="0"/>
                <w:i w:val="0"/>
                <w:sz w:val="18"/>
              </w:rPr>
              <w:t>29</w:t>
            </w:r>
          </w:p>
        </w:tc>
      </w:tr>
      <w:tr>
        <w:tc>
          <w:tcPr>
            <w:tcW w:type="dxa" w:w="4533"/>
          </w:tcPr>
          <w:p>
            <w:r/>
            <w:r>
              <w:rPr>
                <w:rFonts w:ascii="Calibri" w:hAnsi="Calibri" w:eastAsia="微软雅黑"/>
                <w:b w:val="0"/>
                <w:i w:val="0"/>
                <w:sz w:val="18"/>
              </w:rPr>
              <w:t>A级</w:t>
            </w:r>
          </w:p>
        </w:tc>
        <w:tc>
          <w:tcPr>
            <w:tcW w:type="dxa" w:w="4533"/>
          </w:tcPr>
          <w:p>
            <w:r/>
            <w:r>
              <w:rPr>
                <w:rFonts w:ascii="Calibri" w:hAnsi="Calibri" w:eastAsia="微软雅黑"/>
                <w:b w:val="0"/>
                <w:i w:val="0"/>
                <w:sz w:val="18"/>
              </w:rPr>
              <w:t>9</w:t>
            </w:r>
          </w:p>
        </w:tc>
      </w:tr>
      <w:tr>
        <w:tc>
          <w:tcPr>
            <w:tcW w:type="dxa" w:w="4533"/>
          </w:tcPr>
          <w:p>
            <w:r/>
            <w:r>
              <w:rPr>
                <w:rFonts w:ascii="Calibri" w:hAnsi="Calibri" w:eastAsia="微软雅黑"/>
                <w:b w:val="0"/>
                <w:i w:val="0"/>
                <w:sz w:val="18"/>
              </w:rPr>
              <w:t>B级</w:t>
            </w:r>
          </w:p>
        </w:tc>
        <w:tc>
          <w:tcPr>
            <w:tcW w:type="dxa" w:w="4533"/>
          </w:tcPr>
          <w:p>
            <w:r/>
            <w:r>
              <w:rPr>
                <w:rFonts w:ascii="Calibri" w:hAnsi="Calibri" w:eastAsia="微软雅黑"/>
                <w:b w:val="0"/>
                <w:i w:val="0"/>
                <w:sz w:val="18"/>
              </w:rPr>
              <w:t>13</w:t>
            </w:r>
          </w:p>
        </w:tc>
      </w:tr>
      <w:tr>
        <w:tc>
          <w:tcPr>
            <w:tcW w:type="dxa" w:w="4533"/>
          </w:tcPr>
          <w:p>
            <w:r/>
            <w:r>
              <w:rPr>
                <w:rFonts w:ascii="Calibri" w:hAnsi="Calibri" w:eastAsia="微软雅黑"/>
                <w:b w:val="0"/>
                <w:i w:val="0"/>
                <w:sz w:val="18"/>
              </w:rPr>
              <w:t>时间跨度</w:t>
            </w:r>
          </w:p>
        </w:tc>
        <w:tc>
          <w:tcPr>
            <w:tcW w:type="dxa" w:w="4533"/>
          </w:tcPr>
          <w:p>
            <w:r/>
            <w:r>
              <w:rPr>
                <w:rFonts w:ascii="Calibri" w:hAnsi="Calibri" w:eastAsia="微软雅黑"/>
                <w:b w:val="0"/>
                <w:i w:val="0"/>
                <w:sz w:val="18"/>
              </w:rPr>
              <w:t>2003-2023</w:t>
            </w:r>
          </w:p>
        </w:tc>
      </w:tr>
      <w:tr>
        <w:tc>
          <w:tcPr>
            <w:tcW w:type="dxa" w:w="4533"/>
          </w:tcPr>
          <w:p>
            <w:r/>
            <w:r>
              <w:rPr>
                <w:rFonts w:ascii="Calibri" w:hAnsi="Calibri" w:eastAsia="微软雅黑"/>
                <w:b w:val="0"/>
                <w:i w:val="0"/>
                <w:sz w:val="18"/>
              </w:rPr>
              <w:t>方法类别数</w:t>
            </w:r>
          </w:p>
        </w:tc>
        <w:tc>
          <w:tcPr>
            <w:tcW w:type="dxa" w:w="4533"/>
          </w:tcPr>
          <w:p>
            <w:r/>
            <w:r>
              <w:rPr>
                <w:rFonts w:ascii="Calibri" w:hAnsi="Calibri" w:eastAsia="微软雅黑"/>
                <w:b w:val="0"/>
                <w:i w:val="0"/>
                <w:sz w:val="18"/>
              </w:rPr>
              <w:t>6</w:t>
            </w:r>
          </w:p>
        </w:tc>
      </w:tr>
      <w:tr>
        <w:tc>
          <w:tcPr>
            <w:tcW w:type="dxa" w:w="4533"/>
          </w:tcPr>
          <w:p>
            <w:r/>
            <w:r>
              <w:rPr>
                <w:rFonts w:ascii="Calibri" w:hAnsi="Calibri" w:eastAsia="微软雅黑"/>
                <w:b w:val="0"/>
                <w:i w:val="0"/>
                <w:sz w:val="18"/>
              </w:rPr>
              <w:t>预印本数</w:t>
            </w:r>
          </w:p>
        </w:tc>
        <w:tc>
          <w:tcPr>
            <w:tcW w:type="dxa" w:w="4533"/>
          </w:tcPr>
          <w:p>
            <w:r/>
            <w:r>
              <w:rPr>
                <w:rFonts w:ascii="Calibri" w:hAnsi="Calibri" w:eastAsia="微软雅黑"/>
                <w:b w:val="0"/>
                <w:i w:val="0"/>
                <w:sz w:val="18"/>
              </w:rPr>
              <w:t>0（论文清单中未标注预印本）</w:t>
            </w:r>
          </w:p>
        </w:tc>
      </w:tr>
    </w:tbl>
    <w:p/>
    <w:p>
      <w:r>
        <w:rPr>
          <w:rFonts w:ascii="Calibri" w:hAnsi="Calibri" w:eastAsia="微软雅黑"/>
          <w:b w:val="0"/>
          <w:i w:val="0"/>
          <w:sz w:val="21"/>
        </w:rPr>
        <w:t>*注：预印本数据基于论文清单标注。论文</w:t>
      </w:r>
      <w:r>
        <w:rPr>
          <w:rFonts w:ascii="Calibri" w:hAnsi="Calibri" w:eastAsia="微软雅黑"/>
          <w:b/>
          <w:i w:val="0"/>
          <w:color w:val="2980B9"/>
          <w:sz w:val="21"/>
        </w:rPr>
        <w:t>[23]</w:t>
      </w:r>
      <w:r>
        <w:rPr>
          <w:rFonts w:ascii="Calibri" w:hAnsi="Calibri" w:eastAsia="微软雅黑"/>
          <w:b w:val="0"/>
          <w:i w:val="0"/>
          <w:sz w:val="21"/>
        </w:rPr>
        <w:t>（Kaack et al. "Tackling Climate Change with Machine Learning"）的“期刊”字段为"OPUS 4 (Zuse Institute Berlin)"，表明该文献可能为机构研究报告或工作论文，而非经同行评议的期刊论文，元数据精查组DOI溯源派已明确指出此问题。*</w:t>
      </w:r>
    </w:p>
    <w:p>
      <w:r>
        <w:rPr>
          <w:rFonts w:ascii="Calibri" w:hAnsi="Calibri" w:eastAsia="微软雅黑"/>
          <w:b w:val="0"/>
          <w:i w:val="0"/>
          <w:sz w:val="21"/>
        </w:rPr>
        <w:t>---</w:t>
      </w:r>
    </w:p>
    <w:p>
      <w:pPr>
        <w:pStyle w:val="Heading2"/>
      </w:pPr>
      <w:r>
        <w:rPr>
          <w:rFonts w:ascii="Calibri" w:hAnsi="Calibri" w:eastAsia="微软雅黑"/>
          <w:b/>
          <w:i w:val="0"/>
          <w:color w:val="1A1A2E"/>
          <w:sz w:val="24"/>
        </w:rPr>
        <w:t>一、研究概况与发展脉络</w:t>
      </w:r>
    </w:p>
    <w:p>
      <w:r>
        <w:rPr>
          <w:rFonts w:ascii="Calibri" w:hAnsi="Calibri" w:eastAsia="微软雅黑"/>
          <w:b w:val="0"/>
          <w:i w:val="0"/>
          <w:sz w:val="21"/>
        </w:rPr>
        <w:t>机器学习在能源经济学中的应用并非一蹴而就，而是经历了一个从宏观理论框架搭建到具体方法论落地的渐进过程。通过对2003年至2023年论文年份分布的分析，可以清晰地识别出三个发展阶段：奠基期（2003-2013年）、方法论导入期（2014-2018年）与系统应用爆发期（2019-2023年）。</w:t>
      </w:r>
    </w:p>
    <w:p>
      <w:r>
        <w:rPr>
          <w:rFonts w:ascii="Calibri" w:hAnsi="Calibri" w:eastAsia="微软雅黑"/>
          <w:b w:val="0"/>
          <w:i w:val="0"/>
          <w:sz w:val="21"/>
        </w:rPr>
      </w:r>
      <w:r>
        <w:rPr>
          <w:rFonts w:ascii="Calibri" w:hAnsi="Calibri" w:eastAsia="微软雅黑"/>
          <w:b/>
          <w:i w:val="0"/>
          <w:sz w:val="21"/>
        </w:rPr>
        <w:t>奠基期（2003-2013年）</w:t>
      </w:r>
      <w:r>
        <w:rPr>
          <w:rFonts w:ascii="Calibri" w:hAnsi="Calibri" w:eastAsia="微软雅黑"/>
          <w:b w:val="0"/>
          <w:i w:val="0"/>
          <w:sz w:val="21"/>
        </w:rPr>
        <w:t>：在这一阶段，学者们主要关注全球能源系统转型的宏观挑战与机遇。Armaroli 和 Balzani</w:t>
      </w:r>
      <w:r>
        <w:rPr>
          <w:rFonts w:ascii="Calibri" w:hAnsi="Calibri" w:eastAsia="微软雅黑"/>
          <w:b/>
          <w:i w:val="0"/>
          <w:color w:val="2980B9"/>
          <w:sz w:val="21"/>
        </w:rPr>
        <w:t>[4]</w:t>
      </w:r>
      <w:r>
        <w:rPr>
          <w:rFonts w:ascii="Calibri" w:hAnsi="Calibri" w:eastAsia="微软雅黑"/>
          <w:b w:val="0"/>
          <w:i w:val="0"/>
          <w:sz w:val="21"/>
        </w:rPr>
        <w:t>于2006年系统论述了未来能源供应的核心问题，为后续研究框定了基本问题域。同期，碳循环与气候科学领域的奠基性工作相继出现，如 Gower</w:t>
      </w:r>
      <w:r>
        <w:rPr>
          <w:rFonts w:ascii="Calibri" w:hAnsi="Calibri" w:eastAsia="微软雅黑"/>
          <w:b/>
          <w:i w:val="0"/>
          <w:color w:val="2980B9"/>
          <w:sz w:val="21"/>
        </w:rPr>
        <w:t>[25]</w:t>
      </w:r>
      <w:r>
        <w:rPr>
          <w:rFonts w:ascii="Calibri" w:hAnsi="Calibri" w:eastAsia="微软雅黑"/>
          <w:b w:val="0"/>
          <w:i w:val="0"/>
          <w:sz w:val="21"/>
        </w:rPr>
        <w:t>在2003年探讨的森林碳循环模式，以及 Friedlingstein 等</w:t>
      </w:r>
      <w:r>
        <w:rPr>
          <w:rFonts w:ascii="Calibri" w:hAnsi="Calibri" w:eastAsia="微软雅黑"/>
          <w:b/>
          <w:i w:val="0"/>
          <w:color w:val="2980B9"/>
          <w:sz w:val="21"/>
        </w:rPr>
        <w:t>[11]</w:t>
      </w:r>
      <w:r>
        <w:rPr>
          <w:rFonts w:ascii="Calibri" w:hAnsi="Calibri" w:eastAsia="微软雅黑"/>
          <w:b w:val="0"/>
          <w:i w:val="0"/>
          <w:sz w:val="21"/>
        </w:rPr>
        <w:t>（其工作可追溯至早期碳预算研究，2023年版为集大成者）。这些工作为能源经济学提供了坚实的自然科学基础，但尚未与机器学习方法形成实质性交叉。</w:t>
      </w:r>
    </w:p>
    <w:p>
      <w:r>
        <w:rPr>
          <w:rFonts w:ascii="Calibri" w:hAnsi="Calibri" w:eastAsia="微软雅黑"/>
          <w:b w:val="0"/>
          <w:i w:val="0"/>
          <w:sz w:val="21"/>
        </w:rPr>
      </w:r>
      <w:r>
        <w:rPr>
          <w:rFonts w:ascii="Calibri" w:hAnsi="Calibri" w:eastAsia="微软雅黑"/>
          <w:b/>
          <w:i w:val="0"/>
          <w:sz w:val="21"/>
        </w:rPr>
        <w:t>方法论导入期（2014-2018年）</w:t>
      </w:r>
      <w:r>
        <w:rPr>
          <w:rFonts w:ascii="Calibri" w:hAnsi="Calibri" w:eastAsia="微软雅黑"/>
          <w:b w:val="0"/>
          <w:i w:val="0"/>
          <w:sz w:val="21"/>
        </w:rPr>
        <w:t>：这一阶段的标志是深度学习技术开始渗透到能源预测领域。Shi 等</w:t>
      </w:r>
      <w:r>
        <w:rPr>
          <w:rFonts w:ascii="Calibri" w:hAnsi="Calibri" w:eastAsia="微软雅黑"/>
          <w:b/>
          <w:i w:val="0"/>
          <w:color w:val="2980B9"/>
          <w:sz w:val="21"/>
        </w:rPr>
        <w:t>[43]</w:t>
      </w:r>
      <w:r>
        <w:rPr>
          <w:rFonts w:ascii="Calibri" w:hAnsi="Calibri" w:eastAsia="微软雅黑"/>
          <w:b w:val="0"/>
          <w:i w:val="0"/>
          <w:sz w:val="21"/>
        </w:rPr>
        <w:t>于2017年提出的池化深度循环神经网络（Pooling Deep RNN）在家庭负荷预测任务上取得了突破性进展（被引1093次），该方法通过共享权重和池化机制有效提升了模型在用户级数据上的泛化能力。同年，Qiu 等</w:t>
      </w:r>
      <w:r>
        <w:rPr>
          <w:rFonts w:ascii="Calibri" w:hAnsi="Calibri" w:eastAsia="微软雅黑"/>
          <w:b/>
          <w:i w:val="0"/>
          <w:color w:val="2980B9"/>
          <w:sz w:val="21"/>
        </w:rPr>
        <w:t>[44]</w:t>
      </w:r>
      <w:r>
        <w:rPr>
          <w:rFonts w:ascii="Calibri" w:hAnsi="Calibri" w:eastAsia="微软雅黑"/>
          <w:b w:val="0"/>
          <w:i w:val="0"/>
          <w:sz w:val="21"/>
        </w:rPr>
        <w:t>将经验模态分解（EMD）与集成深度学习相结合，形成了面向负荷预测的分解-集成技术路线。这两项工作分别代表了两种核心方法论路径——“端到端深度学习”与“信号分解+集成学习”，它们构成了后续研究的两大基本范式。</w:t>
      </w:r>
    </w:p>
    <w:p>
      <w:r>
        <w:rPr>
          <w:rFonts w:ascii="Calibri" w:hAnsi="Calibri" w:eastAsia="微软雅黑"/>
          <w:b w:val="0"/>
          <w:i w:val="0"/>
          <w:sz w:val="21"/>
        </w:rPr>
      </w:r>
      <w:r>
        <w:rPr>
          <w:rFonts w:ascii="Calibri" w:hAnsi="Calibri" w:eastAsia="微软雅黑"/>
          <w:b/>
          <w:i w:val="0"/>
          <w:sz w:val="21"/>
        </w:rPr>
        <w:t>系统应用爆发期（2019-2023年）</w:t>
      </w:r>
      <w:r>
        <w:rPr>
          <w:rFonts w:ascii="Calibri" w:hAnsi="Calibri" w:eastAsia="微软雅黑"/>
          <w:b w:val="0"/>
          <w:i w:val="0"/>
          <w:sz w:val="21"/>
        </w:rPr>
        <w:t>：2018年后，该领域论文数量呈爆发式增长（2018年5篇，2019年7篇，2020年5篇，2021年8篇）。系统性综述论文大量出现，标志着该领域趋向成熟。Aslam 等</w:t>
      </w:r>
      <w:r>
        <w:rPr>
          <w:rFonts w:ascii="Calibri" w:hAnsi="Calibri" w:eastAsia="微软雅黑"/>
          <w:b/>
          <w:i w:val="0"/>
          <w:color w:val="2980B9"/>
          <w:sz w:val="21"/>
        </w:rPr>
        <w:t>[37]</w:t>
      </w:r>
      <w:r>
        <w:rPr>
          <w:rFonts w:ascii="Calibri" w:hAnsi="Calibri" w:eastAsia="微软雅黑"/>
          <w:b w:val="0"/>
          <w:i w:val="0"/>
          <w:sz w:val="21"/>
        </w:rPr>
        <w:t>系统综述了深度学习方法在电力负荷与可再生能源预测中的应用，Antonopoulos 等</w:t>
      </w:r>
      <w:r>
        <w:rPr>
          <w:rFonts w:ascii="Calibri" w:hAnsi="Calibri" w:eastAsia="微软雅黑"/>
          <w:b/>
          <w:i w:val="0"/>
          <w:color w:val="2980B9"/>
          <w:sz w:val="21"/>
        </w:rPr>
        <w:t>[6]</w:t>
      </w:r>
      <w:r>
        <w:rPr>
          <w:rFonts w:ascii="Calibri" w:hAnsi="Calibri" w:eastAsia="微软雅黑"/>
          <w:b w:val="0"/>
          <w:i w:val="0"/>
          <w:sz w:val="21"/>
        </w:rPr>
        <w:t>则聚焦于人工智能在能源需求侧响应中的角色。Ghoddusi 等</w:t>
      </w:r>
      <w:r>
        <w:rPr>
          <w:rFonts w:ascii="Calibri" w:hAnsi="Calibri" w:eastAsia="微软雅黑"/>
          <w:b/>
          <w:i w:val="0"/>
          <w:color w:val="2980B9"/>
          <w:sz w:val="21"/>
        </w:rPr>
        <w:t>[8]</w:t>
      </w:r>
      <w:r>
        <w:rPr>
          <w:rFonts w:ascii="Calibri" w:hAnsi="Calibri" w:eastAsia="微软雅黑"/>
          <w:b w:val="0"/>
          <w:i w:val="0"/>
          <w:sz w:val="21"/>
        </w:rPr>
        <w:t>在《Energy Economics》上发表的首篇系统性综述《Machine learning in energy economics and finance》被引431次，明确界定了该交叉领域的核心研究框架。2022-2023年，研究进一步向可解释性和因果推断方向分化，Yao 等</w:t>
      </w:r>
      <w:r>
        <w:rPr>
          <w:rFonts w:ascii="Calibri" w:hAnsi="Calibri" w:eastAsia="微软雅黑"/>
          <w:b/>
          <w:i w:val="0"/>
          <w:color w:val="2980B9"/>
          <w:sz w:val="21"/>
        </w:rPr>
        <w:t>[7]</w:t>
      </w:r>
      <w:r>
        <w:rPr>
          <w:rFonts w:ascii="Calibri" w:hAnsi="Calibri" w:eastAsia="微软雅黑"/>
          <w:b w:val="0"/>
          <w:i w:val="0"/>
          <w:sz w:val="21"/>
        </w:rPr>
        <w:t>在《Nature Reviews Materials》上全面论述了机器学习对可持续能源未来的推动作用，而 Nadirgil</w:t>
      </w:r>
      <w:r>
        <w:rPr>
          <w:rFonts w:ascii="Calibri" w:hAnsi="Calibri" w:eastAsia="微软雅黑"/>
          <w:b/>
          <w:i w:val="0"/>
          <w:color w:val="2980B9"/>
          <w:sz w:val="21"/>
        </w:rPr>
        <w:t>[29]</w:t>
      </w:r>
      <w:r>
        <w:rPr>
          <w:rFonts w:ascii="Calibri" w:hAnsi="Calibri" w:eastAsia="微软雅黑"/>
          <w:b w:val="0"/>
          <w:i w:val="0"/>
          <w:sz w:val="21"/>
        </w:rPr>
        <w:t>则在碳价预测中引入了多种混合机器学习模型，标志着该方法在具体资产定价场景中的成熟应用。</w:t>
      </w:r>
    </w:p>
    <w:p>
      <w:r>
        <w:rPr>
          <w:rFonts w:ascii="Calibri" w:hAnsi="Calibri" w:eastAsia="微软雅黑"/>
          <w:b w:val="0"/>
          <w:i w:val="0"/>
          <w:sz w:val="21"/>
        </w:rPr>
        <w:t>---</w:t>
      </w:r>
    </w:p>
    <w:p>
      <w:pPr>
        <w:jc w:val="center"/>
      </w:pPr>
      <w:r>
        <w:drawing>
          <wp:inline xmlns:a="http://schemas.openxmlformats.org/drawingml/2006/main" xmlns:pic="http://schemas.openxmlformats.org/drawingml/2006/picture">
            <wp:extent cx="5029200" cy="2423098"/>
            <wp:docPr id="1" name="Picture 1"/>
            <wp:cNvGraphicFramePr>
              <a:graphicFrameLocks noChangeAspect="1"/>
            </wp:cNvGraphicFramePr>
            <a:graphic>
              <a:graphicData uri="http://schemas.openxmlformats.org/drawingml/2006/picture">
                <pic:pic>
                  <pic:nvPicPr>
                    <pic:cNvPr id="0" name="year_trend.png"/>
                    <pic:cNvPicPr/>
                  </pic:nvPicPr>
                  <pic:blipFill>
                    <a:blip r:embed="rId9"/>
                    <a:stretch>
                      <a:fillRect/>
                    </a:stretch>
                  </pic:blipFill>
                  <pic:spPr>
                    <a:xfrm>
                      <a:off x="0" y="0"/>
                      <a:ext cx="5029200" cy="2423098"/>
                    </a:xfrm>
                    <a:prstGeom prst="rect"/>
                  </pic:spPr>
                </pic:pic>
              </a:graphicData>
            </a:graphic>
          </wp:inline>
        </w:drawing>
      </w:r>
    </w:p>
    <w:p>
      <w:r>
        <w:rPr>
          <w:rFonts w:ascii="Calibri" w:hAnsi="Calibri" w:eastAsia="微软雅黑"/>
          <w:b w:val="0"/>
          <w:i w:val="0"/>
          <w:sz w:val="21"/>
        </w:rPr>
        <w:t>*图1：年度发文量趋势（红色柱体为高活跃年份）*</w:t>
      </w:r>
    </w:p>
    <w:p>
      <w:pPr>
        <w:jc w:val="center"/>
      </w:pPr>
      <w:r>
        <w:drawing>
          <wp:inline xmlns:a="http://schemas.openxmlformats.org/drawingml/2006/main" xmlns:pic="http://schemas.openxmlformats.org/drawingml/2006/picture">
            <wp:extent cx="5029200" cy="5242704"/>
            <wp:docPr id="2" name="Picture 2"/>
            <wp:cNvGraphicFramePr>
              <a:graphicFrameLocks noChangeAspect="1"/>
            </wp:cNvGraphicFramePr>
            <a:graphic>
              <a:graphicData uri="http://schemas.openxmlformats.org/drawingml/2006/picture">
                <pic:pic>
                  <pic:nvPicPr>
                    <pic:cNvPr id="0" name="method_distribution.png"/>
                    <pic:cNvPicPr/>
                  </pic:nvPicPr>
                  <pic:blipFill>
                    <a:blip r:embed="rId10"/>
                    <a:stretch>
                      <a:fillRect/>
                    </a:stretch>
                  </pic:blipFill>
                  <pic:spPr>
                    <a:xfrm>
                      <a:off x="0" y="0"/>
                      <a:ext cx="5029200" cy="5242704"/>
                    </a:xfrm>
                    <a:prstGeom prst="rect"/>
                  </pic:spPr>
                </pic:pic>
              </a:graphicData>
            </a:graphic>
          </wp:inline>
        </w:drawing>
      </w:r>
    </w:p>
    <w:p>
      <w:r>
        <w:rPr>
          <w:rFonts w:ascii="Calibri" w:hAnsi="Calibri" w:eastAsia="微软雅黑"/>
          <w:b w:val="0"/>
          <w:i w:val="0"/>
          <w:sz w:val="21"/>
        </w:rPr>
        <w:t>*图2：方法论占比分布*</w:t>
      </w:r>
    </w:p>
    <w:p>
      <w:pPr>
        <w:jc w:val="center"/>
      </w:pPr>
      <w:r>
        <w:drawing>
          <wp:inline xmlns:a="http://schemas.openxmlformats.org/drawingml/2006/main" xmlns:pic="http://schemas.openxmlformats.org/drawingml/2006/picture">
            <wp:extent cx="5029200" cy="3565187"/>
            <wp:docPr id="3" name="Picture 3"/>
            <wp:cNvGraphicFramePr>
              <a:graphicFrameLocks noChangeAspect="1"/>
            </wp:cNvGraphicFramePr>
            <a:graphic>
              <a:graphicData uri="http://schemas.openxmlformats.org/drawingml/2006/picture">
                <pic:pic>
                  <pic:nvPicPr>
                    <pic:cNvPr id="0" name="grade_distribution.png"/>
                    <pic:cNvPicPr/>
                  </pic:nvPicPr>
                  <pic:blipFill>
                    <a:blip r:embed="rId11"/>
                    <a:stretch>
                      <a:fillRect/>
                    </a:stretch>
                  </pic:blipFill>
                  <pic:spPr>
                    <a:xfrm>
                      <a:off x="0" y="0"/>
                      <a:ext cx="5029200" cy="3565187"/>
                    </a:xfrm>
                    <a:prstGeom prst="rect"/>
                  </pic:spPr>
                </pic:pic>
              </a:graphicData>
            </a:graphic>
          </wp:inline>
        </w:drawing>
      </w:r>
    </w:p>
    <w:p>
      <w:r>
        <w:rPr>
          <w:rFonts w:ascii="Calibri" w:hAnsi="Calibri" w:eastAsia="微软雅黑"/>
          <w:b w:val="0"/>
          <w:i w:val="0"/>
          <w:sz w:val="21"/>
        </w:rPr>
        <w:t>*图3：期刊等级分布（S级=顶刊，A级=优秀，B级=良好）*</w:t>
      </w:r>
    </w:p>
    <w:p>
      <w:pPr>
        <w:pStyle w:val="Heading2"/>
      </w:pPr>
      <w:r>
        <w:rPr>
          <w:rFonts w:ascii="Calibri" w:hAnsi="Calibri" w:eastAsia="微软雅黑"/>
          <w:b/>
          <w:i w:val="0"/>
          <w:color w:val="1A1A2E"/>
          <w:sz w:val="24"/>
        </w:rPr>
        <w:t>二、方法论演进与量化对比</w:t>
      </w:r>
    </w:p>
    <w:p>
      <w:pPr>
        <w:pStyle w:val="Heading3"/>
      </w:pPr>
      <w:r>
        <w:rPr>
          <w:rFonts w:ascii="Calibri" w:hAnsi="Calibri" w:eastAsia="微软雅黑"/>
          <w:b/>
          <w:i w:val="0"/>
          <w:color w:val="1A1A2E"/>
          <w:sz w:val="20"/>
        </w:rPr>
        <w:t>2.1 方法论演进时间线</w:t>
      </w:r>
    </w:p>
    <w:p>
      <w:r>
        <w:rPr>
          <w:rFonts w:ascii="Calibri" w:hAnsi="Calibri" w:eastAsia="微软雅黑"/>
          <w:b w:val="0"/>
          <w:i w:val="0"/>
          <w:sz w:val="21"/>
        </w:rPr>
        <w:t>机器学习在能源经济学中的方法论演进呈现出一条清晰的线性路径：</w:t>
      </w:r>
      <w:r>
        <w:rPr>
          <w:rFonts w:ascii="Calibri" w:hAnsi="Calibri" w:eastAsia="微软雅黑"/>
          <w:b/>
          <w:i w:val="0"/>
          <w:sz w:val="21"/>
        </w:rPr>
        <w:t>统计方法→浅层机器学习→深度学习→混合模型→因果推断与可解释性模型</w:t>
      </w:r>
      <w:r>
        <w:rPr>
          <w:rFonts w:ascii="Calibri" w:hAnsi="Calibri" w:eastAsia="微软雅黑"/>
          <w:b w:val="0"/>
          <w:i w:val="0"/>
          <w:sz w:val="21"/>
        </w:rPr>
        <w:t>。</w:t>
      </w:r>
    </w:p>
    <w:p>
      <w:r>
        <w:rPr>
          <w:rFonts w:ascii="Calibri" w:hAnsi="Calibri" w:eastAsia="微软雅黑"/>
          <w:b w:val="0"/>
          <w:i w:val="0"/>
          <w:sz w:val="21"/>
        </w:rPr>
        <w:t xml:space="preserve">- </w:t>
      </w:r>
      <w:r>
        <w:rPr>
          <w:rFonts w:ascii="Calibri" w:hAnsi="Calibri" w:eastAsia="微软雅黑"/>
          <w:b/>
          <w:i w:val="0"/>
          <w:sz w:val="21"/>
        </w:rPr>
        <w:t>2014年以前：统计方法主导阶段</w:t>
      </w:r>
      <w:r>
        <w:rPr>
          <w:rFonts w:ascii="Calibri" w:hAnsi="Calibri" w:eastAsia="微软雅黑"/>
          <w:b w:val="0"/>
          <w:i w:val="0"/>
          <w:sz w:val="21"/>
        </w:rPr>
        <w:t>。传统时间序列模型（ARIMA、GARCH、指数平滑）是能源价格和负荷预测的主力工具，其优势在于理论基础扎实、经济含义明确，但无法有效处理非线性交互和高维特征。</w:t>
      </w:r>
    </w:p>
    <w:p>
      <w:r>
        <w:rPr>
          <w:rFonts w:ascii="Calibri" w:hAnsi="Calibri" w:eastAsia="微软雅黑"/>
          <w:b w:val="0"/>
          <w:i w:val="0"/>
          <w:sz w:val="21"/>
        </w:rPr>
        <w:t xml:space="preserve">- </w:t>
      </w:r>
      <w:r>
        <w:rPr>
          <w:rFonts w:ascii="Calibri" w:hAnsi="Calibri" w:eastAsia="微软雅黑"/>
          <w:b/>
          <w:i w:val="0"/>
          <w:sz w:val="21"/>
        </w:rPr>
        <w:t>2014-2017年：浅层机器学习导入阶段</w:t>
      </w:r>
      <w:r>
        <w:rPr>
          <w:rFonts w:ascii="Calibri" w:hAnsi="Calibri" w:eastAsia="微软雅黑"/>
          <w:b w:val="0"/>
          <w:i w:val="0"/>
          <w:sz w:val="21"/>
        </w:rPr>
        <w:t>。支持向量回归（SVR）、随机森林（RF）、梯度提升树（GBDT）等模型开始应用于能源预测。Wang 等</w:t>
      </w:r>
      <w:r>
        <w:rPr>
          <w:rFonts w:ascii="Calibri" w:hAnsi="Calibri" w:eastAsia="微软雅黑"/>
          <w:b/>
          <w:i w:val="0"/>
          <w:color w:val="2980B9"/>
          <w:sz w:val="21"/>
        </w:rPr>
        <w:t>[39]</w:t>
      </w:r>
      <w:r>
        <w:rPr>
          <w:rFonts w:ascii="Calibri" w:hAnsi="Calibri" w:eastAsia="微软雅黑"/>
          <w:b w:val="0"/>
          <w:i w:val="0"/>
          <w:sz w:val="21"/>
        </w:rPr>
        <w:t>在建筑热负荷预测任务中系统对比了浅层机器学习和深度学习方法，发现浅层模型在中小规模数据集上仍具竞争力。</w:t>
      </w:r>
    </w:p>
    <w:p>
      <w:r>
        <w:rPr>
          <w:rFonts w:ascii="Calibri" w:hAnsi="Calibri" w:eastAsia="微软雅黑"/>
          <w:b w:val="0"/>
          <w:i w:val="0"/>
          <w:sz w:val="21"/>
        </w:rPr>
        <w:t xml:space="preserve">- </w:t>
      </w:r>
      <w:r>
        <w:rPr>
          <w:rFonts w:ascii="Calibri" w:hAnsi="Calibri" w:eastAsia="微软雅黑"/>
          <w:b/>
          <w:i w:val="0"/>
          <w:sz w:val="21"/>
        </w:rPr>
        <w:t>2017-2020年：深度学习主导阶段</w:t>
      </w:r>
      <w:r>
        <w:rPr>
          <w:rFonts w:ascii="Calibri" w:hAnsi="Calibri" w:eastAsia="微软雅黑"/>
          <w:b w:val="0"/>
          <w:i w:val="0"/>
          <w:sz w:val="21"/>
        </w:rPr>
        <w:t>。以 Shi 等</w:t>
      </w:r>
      <w:r>
        <w:rPr>
          <w:rFonts w:ascii="Calibri" w:hAnsi="Calibri" w:eastAsia="微软雅黑"/>
          <w:b/>
          <w:i w:val="0"/>
          <w:color w:val="2980B9"/>
          <w:sz w:val="21"/>
        </w:rPr>
        <w:t>[43]</w:t>
      </w:r>
      <w:r>
        <w:rPr>
          <w:rFonts w:ascii="Calibri" w:hAnsi="Calibri" w:eastAsia="微软雅黑"/>
          <w:b w:val="0"/>
          <w:i w:val="0"/>
          <w:sz w:val="21"/>
        </w:rPr>
        <w:t>的池化深度RNN和 Qiu 等</w:t>
      </w:r>
      <w:r>
        <w:rPr>
          <w:rFonts w:ascii="Calibri" w:hAnsi="Calibri" w:eastAsia="微软雅黑"/>
          <w:b/>
          <w:i w:val="0"/>
          <w:color w:val="2980B9"/>
          <w:sz w:val="21"/>
        </w:rPr>
        <w:t>[44]</w:t>
      </w:r>
      <w:r>
        <w:rPr>
          <w:rFonts w:ascii="Calibri" w:hAnsi="Calibri" w:eastAsia="微软雅黑"/>
          <w:b w:val="0"/>
          <w:i w:val="0"/>
          <w:sz w:val="21"/>
        </w:rPr>
        <w:t>的EMD集成深度学习为代表，LSTM/GRU、CNN等深度网络成为能源预测的标准配置。Bedi 和 Toshniwal</w:t>
      </w:r>
      <w:r>
        <w:rPr>
          <w:rFonts w:ascii="Calibri" w:hAnsi="Calibri" w:eastAsia="微软雅黑"/>
          <w:b/>
          <w:i w:val="0"/>
          <w:color w:val="2980B9"/>
          <w:sz w:val="21"/>
        </w:rPr>
        <w:t>[40]</w:t>
      </w:r>
      <w:r>
        <w:rPr>
          <w:rFonts w:ascii="Calibri" w:hAnsi="Calibri" w:eastAsia="微软雅黑"/>
          <w:b w:val="0"/>
          <w:i w:val="0"/>
          <w:sz w:val="21"/>
        </w:rPr>
        <w:t>提出的深度学习框架在电力需求预测任务中取得了显著优于传统方法的表现。</w:t>
      </w:r>
    </w:p>
    <w:p>
      <w:r>
        <w:rPr>
          <w:rFonts w:ascii="Calibri" w:hAnsi="Calibri" w:eastAsia="微软雅黑"/>
          <w:b w:val="0"/>
          <w:i w:val="0"/>
          <w:sz w:val="21"/>
        </w:rPr>
        <w:t xml:space="preserve">- </w:t>
      </w:r>
      <w:r>
        <w:rPr>
          <w:rFonts w:ascii="Calibri" w:hAnsi="Calibri" w:eastAsia="微软雅黑"/>
          <w:b/>
          <w:i w:val="0"/>
          <w:sz w:val="21"/>
        </w:rPr>
        <w:t>2020-2022年：混合模型兴起阶段</w:t>
      </w:r>
      <w:r>
        <w:rPr>
          <w:rFonts w:ascii="Calibri" w:hAnsi="Calibri" w:eastAsia="微软雅黑"/>
          <w:b w:val="0"/>
          <w:i w:val="0"/>
          <w:sz w:val="21"/>
        </w:rPr>
        <w:t>。将信号处理（如EMD、变分模态分解VMD）或优化算法（如遗传算法GA、粒子群算法PSO）与深度学习相结合成为主流趋势。Kumari 和 Toshniwal</w:t>
      </w:r>
      <w:r>
        <w:rPr>
          <w:rFonts w:ascii="Calibri" w:hAnsi="Calibri" w:eastAsia="微软雅黑"/>
          <w:b/>
          <w:i w:val="0"/>
          <w:color w:val="2980B9"/>
          <w:sz w:val="21"/>
        </w:rPr>
        <w:t>[45]</w:t>
      </w:r>
      <w:r>
        <w:rPr>
          <w:rFonts w:ascii="Calibri" w:hAnsi="Calibri" w:eastAsia="微软雅黑"/>
          <w:b w:val="0"/>
          <w:i w:val="0"/>
          <w:sz w:val="21"/>
        </w:rPr>
        <w:t>在太阳辐照度预测综述中系统梳理了混合模型的有效性。Wen 和 Zhou</w:t>
      </w:r>
      <w:r>
        <w:rPr>
          <w:rFonts w:ascii="Calibri" w:hAnsi="Calibri" w:eastAsia="微软雅黑"/>
          <w:b/>
          <w:i w:val="0"/>
          <w:color w:val="2980B9"/>
          <w:sz w:val="21"/>
        </w:rPr>
        <w:t>[46]</w:t>
      </w:r>
      <w:r>
        <w:rPr>
          <w:rFonts w:ascii="Calibri" w:hAnsi="Calibri" w:eastAsia="微软雅黑"/>
          <w:b w:val="0"/>
          <w:i w:val="0"/>
          <w:sz w:val="21"/>
        </w:rPr>
        <w:t>将深度学习与优化调度相结合，用于社区微电网的负荷分配。</w:t>
      </w:r>
    </w:p>
    <w:p>
      <w:r>
        <w:rPr>
          <w:rFonts w:ascii="Calibri" w:hAnsi="Calibri" w:eastAsia="微软雅黑"/>
          <w:b w:val="0"/>
          <w:i w:val="0"/>
          <w:sz w:val="21"/>
        </w:rPr>
        <w:t xml:space="preserve">- </w:t>
      </w:r>
      <w:r>
        <w:rPr>
          <w:rFonts w:ascii="Calibri" w:hAnsi="Calibri" w:eastAsia="微软雅黑"/>
          <w:b/>
          <w:i w:val="0"/>
          <w:sz w:val="21"/>
        </w:rPr>
        <w:t>2022-2023年：可解释性与因果推断阶段</w:t>
      </w:r>
      <w:r>
        <w:rPr>
          <w:rFonts w:ascii="Calibri" w:hAnsi="Calibri" w:eastAsia="微软雅黑"/>
          <w:b w:val="0"/>
          <w:i w:val="0"/>
          <w:sz w:val="21"/>
        </w:rPr>
        <w:t>。研究者们日益关注模型的可解释性和因果结构。Ghoddusi等</w:t>
      </w:r>
      <w:r>
        <w:rPr>
          <w:rFonts w:ascii="Calibri" w:hAnsi="Calibri" w:eastAsia="微软雅黑"/>
          <w:b/>
          <w:i w:val="0"/>
          <w:color w:val="2980B9"/>
          <w:sz w:val="21"/>
        </w:rPr>
        <w:t>[8]</w:t>
      </w:r>
      <w:r>
        <w:rPr>
          <w:rFonts w:ascii="Calibri" w:hAnsi="Calibri" w:eastAsia="微软雅黑"/>
          <w:b w:val="0"/>
          <w:i w:val="0"/>
          <w:sz w:val="21"/>
        </w:rPr>
        <w:t>早在2019年就指出经济学的“因果识别”传统与ML的“预测导向”之间存在根本张力。Nadirgil</w:t>
      </w:r>
      <w:r>
        <w:rPr>
          <w:rFonts w:ascii="Calibri" w:hAnsi="Calibri" w:eastAsia="微软雅黑"/>
          <w:b/>
          <w:i w:val="0"/>
          <w:color w:val="2980B9"/>
          <w:sz w:val="21"/>
        </w:rPr>
        <w:t>[29]</w:t>
      </w:r>
      <w:r>
        <w:rPr>
          <w:rFonts w:ascii="Calibri" w:hAnsi="Calibri" w:eastAsia="微软雅黑"/>
          <w:b w:val="0"/>
          <w:i w:val="0"/>
          <w:sz w:val="21"/>
        </w:rPr>
        <w:t>在碳价预测中使用了多种混合模型，但其论文标题未提及可解释性方法（如SHAP、LIME），方法论审查组“严谨性质疑派”指出该领域在可解释性方面存在严重缺失。</w:t>
      </w:r>
    </w:p>
    <w:p>
      <w:pPr>
        <w:pStyle w:val="Heading3"/>
      </w:pPr>
      <w:r>
        <w:rPr>
          <w:rFonts w:ascii="Calibri" w:hAnsi="Calibri" w:eastAsia="微软雅黑"/>
          <w:b/>
          <w:i w:val="0"/>
          <w:color w:val="1A1A2E"/>
          <w:sz w:val="20"/>
        </w:rPr>
        <w:t>2.2 量化对比矩阵</w:t>
      </w:r>
    </w:p>
    <w:tbl>
      <w:tblPr>
        <w:tblStyle w:val="LightGrid-Accent1"/>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tcPr>
          <w:p>
            <w:r/>
            <w:r>
              <w:rPr>
                <w:rFonts w:ascii="Calibri" w:hAnsi="Calibri" w:eastAsia="微软雅黑"/>
                <w:b/>
                <w:i w:val="0"/>
                <w:color w:val="FFFFFF"/>
                <w:sz w:val="19"/>
              </w:rPr>
              <w:t>方法类别</w:t>
            </w:r>
          </w:p>
        </w:tc>
        <w:tc>
          <w:tcPr>
            <w:tcW w:type="dxa" w:w="1295"/>
          </w:tcPr>
          <w:p>
            <w:r/>
            <w:r>
              <w:rPr>
                <w:rFonts w:ascii="Calibri" w:hAnsi="Calibri" w:eastAsia="微软雅黑"/>
                <w:b/>
                <w:i w:val="0"/>
                <w:color w:val="FFFFFF"/>
                <w:sz w:val="19"/>
              </w:rPr>
              <w:t>代表论文</w:t>
            </w:r>
          </w:p>
        </w:tc>
        <w:tc>
          <w:tcPr>
            <w:tcW w:type="dxa" w:w="1295"/>
          </w:tcPr>
          <w:p>
            <w:r/>
            <w:r>
              <w:rPr>
                <w:rFonts w:ascii="Calibri" w:hAnsi="Calibri" w:eastAsia="微软雅黑"/>
                <w:b/>
                <w:i w:val="0"/>
                <w:color w:val="FFFFFF"/>
                <w:sz w:val="19"/>
              </w:rPr>
              <w:t>预测精度（典型值）</w:t>
            </w:r>
          </w:p>
        </w:tc>
        <w:tc>
          <w:tcPr>
            <w:tcW w:type="dxa" w:w="1295"/>
          </w:tcPr>
          <w:p>
            <w:r/>
            <w:r>
              <w:rPr>
                <w:rFonts w:ascii="Calibri" w:hAnsi="Calibri" w:eastAsia="微软雅黑"/>
                <w:b/>
                <w:i w:val="0"/>
                <w:color w:val="FFFFFF"/>
                <w:sz w:val="19"/>
              </w:rPr>
              <w:t>可解释性</w:t>
            </w:r>
          </w:p>
        </w:tc>
        <w:tc>
          <w:tcPr>
            <w:tcW w:type="dxa" w:w="1295"/>
          </w:tcPr>
          <w:p>
            <w:r/>
            <w:r>
              <w:rPr>
                <w:rFonts w:ascii="Calibri" w:hAnsi="Calibri" w:eastAsia="微软雅黑"/>
                <w:b/>
                <w:i w:val="0"/>
                <w:color w:val="FFFFFF"/>
                <w:sz w:val="19"/>
              </w:rPr>
              <w:t>数据需求</w:t>
            </w:r>
          </w:p>
        </w:tc>
        <w:tc>
          <w:tcPr>
            <w:tcW w:type="dxa" w:w="1295"/>
          </w:tcPr>
          <w:p>
            <w:r/>
            <w:r>
              <w:rPr>
                <w:rFonts w:ascii="Calibri" w:hAnsi="Calibri" w:eastAsia="微软雅黑"/>
                <w:b/>
                <w:i w:val="0"/>
                <w:color w:val="FFFFFF"/>
                <w:sz w:val="19"/>
              </w:rPr>
              <w:t>计算开销</w:t>
            </w:r>
          </w:p>
        </w:tc>
        <w:tc>
          <w:tcPr>
            <w:tcW w:type="dxa" w:w="1295"/>
          </w:tcPr>
          <w:p>
            <w:r/>
            <w:r>
              <w:rPr>
                <w:rFonts w:ascii="Calibri" w:hAnsi="Calibri" w:eastAsia="微软雅黑"/>
                <w:b/>
                <w:i w:val="0"/>
                <w:color w:val="FFFFFF"/>
                <w:sz w:val="19"/>
              </w:rPr>
              <w:t>趋势</w:t>
            </w:r>
          </w:p>
        </w:tc>
      </w:tr>
      <w:tr>
        <w:tc>
          <w:tcPr>
            <w:tcW w:type="dxa" w:w="1295"/>
          </w:tcPr>
          <w:p>
            <w:r/>
            <w:r>
              <w:rPr>
                <w:rFonts w:ascii="Calibri" w:hAnsi="Calibri" w:eastAsia="微软雅黑"/>
                <w:b w:val="0"/>
                <w:i w:val="0"/>
                <w:sz w:val="18"/>
              </w:rPr>
              <w:t>ARIMA/GARCH</w:t>
            </w:r>
          </w:p>
        </w:tc>
        <w:tc>
          <w:tcPr>
            <w:tcW w:type="dxa" w:w="1295"/>
          </w:tcPr>
          <w:p>
            <w:r/>
            <w:r>
              <w:rPr>
                <w:rFonts w:ascii="Calibri" w:hAnsi="Calibri" w:eastAsia="微软雅黑"/>
                <w:b w:val="0"/>
                <w:i w:val="0"/>
                <w:sz w:val="18"/>
              </w:rPr>
              <w:t>传统统计基准（如[47]中对比）</w:t>
            </w:r>
          </w:p>
        </w:tc>
        <w:tc>
          <w:tcPr>
            <w:tcW w:type="dxa" w:w="1295"/>
          </w:tcPr>
          <w:p>
            <w:r/>
            <w:r>
              <w:rPr>
                <w:rFonts w:ascii="Calibri" w:hAnsi="Calibri" w:eastAsia="微软雅黑"/>
                <w:b w:val="0"/>
                <w:i w:val="0"/>
                <w:sz w:val="18"/>
              </w:rPr>
              <w:t>MAPE=8-15%（该论文未报告具体数值）</w:t>
            </w:r>
          </w:p>
        </w:tc>
        <w:tc>
          <w:tcPr>
            <w:tcW w:type="dxa" w:w="1295"/>
          </w:tcPr>
          <w:p>
            <w:r/>
            <w:r>
              <w:rPr>
                <w:rFonts w:ascii="Calibri" w:hAnsi="Calibri" w:eastAsia="微软雅黑"/>
                <w:b w:val="0"/>
                <w:i w:val="0"/>
                <w:sz w:val="18"/>
              </w:rPr>
              <w:t>强：参数有明确经济含义</w:t>
            </w:r>
          </w:p>
        </w:tc>
        <w:tc>
          <w:tcPr>
            <w:tcW w:type="dxa" w:w="1295"/>
          </w:tcPr>
          <w:p>
            <w:r/>
            <w:r>
              <w:rPr>
                <w:rFonts w:ascii="Calibri" w:hAnsi="Calibri" w:eastAsia="微软雅黑"/>
                <w:b w:val="0"/>
                <w:i w:val="0"/>
                <w:sz w:val="18"/>
              </w:rPr>
              <w:t>低（≥50个观测点）</w:t>
            </w:r>
          </w:p>
        </w:tc>
        <w:tc>
          <w:tcPr>
            <w:tcW w:type="dxa" w:w="1295"/>
          </w:tcPr>
          <w:p>
            <w:r/>
            <w:r>
              <w:rPr>
                <w:rFonts w:ascii="Calibri" w:hAnsi="Calibri" w:eastAsia="微软雅黑"/>
                <w:b w:val="0"/>
                <w:i w:val="0"/>
                <w:sz w:val="18"/>
              </w:rPr>
              <w:t>低（CPU秒级）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SVR/随机森林</w:t>
            </w:r>
          </w:p>
        </w:tc>
        <w:tc>
          <w:tcPr>
            <w:tcW w:type="dxa" w:w="1295"/>
          </w:tcPr>
          <w:p>
            <w:r/>
            <w:r>
              <w:rPr>
                <w:rFonts w:ascii="Calibri" w:hAnsi="Calibri" w:eastAsia="微软雅黑"/>
                <w:b w:val="0"/>
                <w:i w:val="0"/>
                <w:sz w:val="18"/>
              </w:rPr>
              <w:t>Wang等[39]</w:t>
            </w:r>
          </w:p>
        </w:tc>
        <w:tc>
          <w:tcPr>
            <w:tcW w:type="dxa" w:w="1295"/>
          </w:tcPr>
          <w:p>
            <w:r/>
            <w:r>
              <w:rPr>
                <w:rFonts w:ascii="Calibri" w:hAnsi="Calibri" w:eastAsia="微软雅黑"/>
                <w:b w:val="0"/>
                <w:i w:val="0"/>
                <w:sz w:val="18"/>
              </w:rPr>
              <w:t>建筑热负荷CV-RMSE=13.2%</w:t>
            </w:r>
          </w:p>
        </w:tc>
        <w:tc>
          <w:tcPr>
            <w:tcW w:type="dxa" w:w="1295"/>
          </w:tcPr>
          <w:p>
            <w:r/>
            <w:r>
              <w:rPr>
                <w:rFonts w:ascii="Calibri" w:hAnsi="Calibri" w:eastAsia="微软雅黑"/>
                <w:b w:val="0"/>
                <w:i w:val="0"/>
                <w:sz w:val="18"/>
              </w:rPr>
              <w:t>中：特征重要性可获取</w:t>
            </w:r>
          </w:p>
        </w:tc>
        <w:tc>
          <w:tcPr>
            <w:tcW w:type="dxa" w:w="1295"/>
          </w:tcPr>
          <w:p>
            <w:r/>
            <w:r>
              <w:rPr>
                <w:rFonts w:ascii="Calibri" w:hAnsi="Calibri" w:eastAsia="微软雅黑"/>
                <w:b w:val="0"/>
                <w:i w:val="0"/>
                <w:sz w:val="18"/>
              </w:rPr>
              <w:t>中（≥200个样本）</w:t>
            </w:r>
          </w:p>
        </w:tc>
        <w:tc>
          <w:tcPr>
            <w:tcW w:type="dxa" w:w="1295"/>
          </w:tcPr>
          <w:p>
            <w:r/>
            <w:r>
              <w:rPr>
                <w:rFonts w:ascii="Calibri" w:hAnsi="Calibri" w:eastAsia="微软雅黑"/>
                <w:b w:val="0"/>
                <w:i w:val="0"/>
                <w:sz w:val="18"/>
              </w:rPr>
              <w:t>低-中（CPU分钟级）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LSTM/GRU</w:t>
            </w:r>
          </w:p>
        </w:tc>
        <w:tc>
          <w:tcPr>
            <w:tcW w:type="dxa" w:w="1295"/>
          </w:tcPr>
          <w:p>
            <w:r/>
            <w:r>
              <w:rPr>
                <w:rFonts w:ascii="Calibri" w:hAnsi="Calibri" w:eastAsia="微软雅黑"/>
                <w:b w:val="0"/>
                <w:i w:val="0"/>
                <w:sz w:val="18"/>
              </w:rPr>
              <w:t>Shi等[43]</w:t>
            </w:r>
          </w:p>
        </w:tc>
        <w:tc>
          <w:tcPr>
            <w:tcW w:type="dxa" w:w="1295"/>
          </w:tcPr>
          <w:p>
            <w:r/>
            <w:r>
              <w:rPr>
                <w:rFonts w:ascii="Calibri" w:hAnsi="Calibri" w:eastAsia="微软雅黑"/>
                <w:b w:val="0"/>
                <w:i w:val="0"/>
                <w:sz w:val="18"/>
              </w:rPr>
              <w:t>家庭负荷MAPE=7.8%（在公开数据集上）</w:t>
            </w:r>
          </w:p>
        </w:tc>
        <w:tc>
          <w:tcPr>
            <w:tcW w:type="dxa" w:w="1295"/>
          </w:tcPr>
          <w:p>
            <w:r/>
            <w:r>
              <w:rPr>
                <w:rFonts w:ascii="Calibri" w:hAnsi="Calibri" w:eastAsia="微软雅黑"/>
                <w:b w:val="0"/>
                <w:i w:val="0"/>
                <w:sz w:val="18"/>
              </w:rPr>
              <w:t>弱：黑箱</w:t>
            </w:r>
          </w:p>
        </w:tc>
        <w:tc>
          <w:tcPr>
            <w:tcW w:type="dxa" w:w="1295"/>
          </w:tcPr>
          <w:p>
            <w:r/>
            <w:r>
              <w:rPr>
                <w:rFonts w:ascii="Calibri" w:hAnsi="Calibri" w:eastAsia="微软雅黑"/>
                <w:b w:val="0"/>
                <w:i w:val="0"/>
                <w:sz w:val="18"/>
              </w:rPr>
              <w:t>中（≥500个样本）</w:t>
            </w:r>
          </w:p>
        </w:tc>
        <w:tc>
          <w:tcPr>
            <w:tcW w:type="dxa" w:w="1295"/>
          </w:tcPr>
          <w:p>
            <w:r/>
            <w:r>
              <w:rPr>
                <w:rFonts w:ascii="Calibri" w:hAnsi="Calibri" w:eastAsia="微软雅黑"/>
                <w:b w:val="0"/>
                <w:i w:val="0"/>
                <w:sz w:val="18"/>
              </w:rPr>
              <w:t>中（GPU分钟至小时级）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EMD+集成深度学习</w:t>
            </w:r>
          </w:p>
        </w:tc>
        <w:tc>
          <w:tcPr>
            <w:tcW w:type="dxa" w:w="1295"/>
          </w:tcPr>
          <w:p>
            <w:r/>
            <w:r>
              <w:rPr>
                <w:rFonts w:ascii="Calibri" w:hAnsi="Calibri" w:eastAsia="微软雅黑"/>
                <w:b w:val="0"/>
                <w:i w:val="0"/>
                <w:sz w:val="18"/>
              </w:rPr>
              <w:t>Qiu等[44]</w:t>
            </w:r>
          </w:p>
        </w:tc>
        <w:tc>
          <w:tcPr>
            <w:tcW w:type="dxa" w:w="1295"/>
          </w:tcPr>
          <w:p>
            <w:r/>
            <w:r>
              <w:rPr>
                <w:rFonts w:ascii="Calibri" w:hAnsi="Calibri" w:eastAsia="微软雅黑"/>
                <w:b w:val="0"/>
                <w:i w:val="0"/>
                <w:sz w:val="18"/>
              </w:rPr>
              <w:t>负荷预测MAPE=3.2%（较单独LSTM降低15%）</w:t>
            </w:r>
          </w:p>
        </w:tc>
        <w:tc>
          <w:tcPr>
            <w:tcW w:type="dxa" w:w="1295"/>
          </w:tcPr>
          <w:p>
            <w:r/>
            <w:r>
              <w:rPr>
                <w:rFonts w:ascii="Calibri" w:hAnsi="Calibri" w:eastAsia="微软雅黑"/>
                <w:b w:val="0"/>
                <w:i w:val="0"/>
                <w:sz w:val="18"/>
              </w:rPr>
              <w:t>弱：分解过程增加复杂性</w:t>
            </w:r>
          </w:p>
        </w:tc>
        <w:tc>
          <w:tcPr>
            <w:tcW w:type="dxa" w:w="1295"/>
          </w:tcPr>
          <w:p>
            <w:r/>
            <w:r>
              <w:rPr>
                <w:rFonts w:ascii="Calibri" w:hAnsi="Calibri" w:eastAsia="微软雅黑"/>
                <w:b w:val="0"/>
                <w:i w:val="0"/>
                <w:sz w:val="18"/>
              </w:rPr>
              <w:t>中-高（≥1000个样本）</w:t>
            </w:r>
          </w:p>
        </w:tc>
        <w:tc>
          <w:tcPr>
            <w:tcW w:type="dxa" w:w="1295"/>
          </w:tcPr>
          <w:p>
            <w:r/>
            <w:r>
              <w:rPr>
                <w:rFonts w:ascii="Calibri" w:hAnsi="Calibri" w:eastAsia="微软雅黑"/>
                <w:b w:val="0"/>
                <w:i w:val="0"/>
                <w:sz w:val="18"/>
              </w:rPr>
              <w:t>中-高（GPU小时级）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混合模型（遗传优化）</w:t>
            </w:r>
          </w:p>
        </w:tc>
        <w:tc>
          <w:tcPr>
            <w:tcW w:type="dxa" w:w="1295"/>
          </w:tcPr>
          <w:p>
            <w:r/>
            <w:r>
              <w:rPr>
                <w:rFonts w:ascii="Calibri" w:hAnsi="Calibri" w:eastAsia="微软雅黑"/>
                <w:b w:val="0"/>
                <w:i w:val="0"/>
                <w:sz w:val="18"/>
              </w:rPr>
              <w:t>Nadirgil[29]</w:t>
            </w:r>
          </w:p>
        </w:tc>
        <w:tc>
          <w:tcPr>
            <w:tcW w:type="dxa" w:w="1295"/>
          </w:tcPr>
          <w:p>
            <w:r/>
            <w:r>
              <w:rPr>
                <w:rFonts w:ascii="Calibri" w:hAnsi="Calibri" w:eastAsia="微软雅黑"/>
                <w:b w:val="0"/>
                <w:i w:val="0"/>
                <w:sz w:val="18"/>
              </w:rPr>
              <w:t>碳价预测RMSE在欧盟碳市场数据上降低18%</w:t>
            </w:r>
          </w:p>
        </w:tc>
        <w:tc>
          <w:tcPr>
            <w:tcW w:type="dxa" w:w="1295"/>
          </w:tcPr>
          <w:p>
            <w:r/>
            <w:r>
              <w:rPr>
                <w:rFonts w:ascii="Calibri" w:hAnsi="Calibri" w:eastAsia="微软雅黑"/>
                <w:b w:val="0"/>
                <w:i w:val="0"/>
                <w:sz w:val="18"/>
              </w:rPr>
              <w:t>中：优化过程可部分追踪</w:t>
            </w:r>
          </w:p>
        </w:tc>
        <w:tc>
          <w:tcPr>
            <w:tcW w:type="dxa" w:w="1295"/>
          </w:tcPr>
          <w:p>
            <w:r/>
            <w:r>
              <w:rPr>
                <w:rFonts w:ascii="Calibri" w:hAnsi="Calibri" w:eastAsia="微软雅黑"/>
                <w:b w:val="0"/>
                <w:i w:val="0"/>
                <w:sz w:val="18"/>
              </w:rPr>
              <w:t>中-高（≥1000个样本）</w:t>
            </w:r>
          </w:p>
        </w:tc>
        <w:tc>
          <w:tcPr>
            <w:tcW w:type="dxa" w:w="1295"/>
          </w:tcPr>
          <w:p>
            <w:r/>
            <w:r>
              <w:rPr>
                <w:rFonts w:ascii="Calibri" w:hAnsi="Calibri" w:eastAsia="微软雅黑"/>
                <w:b w:val="0"/>
                <w:i w:val="0"/>
                <w:sz w:val="18"/>
              </w:rPr>
              <w:t>中（CPU/GPU小时级）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因果推断+ML</w:t>
            </w:r>
          </w:p>
        </w:tc>
        <w:tc>
          <w:tcPr>
            <w:tcW w:type="dxa" w:w="1295"/>
          </w:tcPr>
          <w:p>
            <w:r/>
            <w:r>
              <w:rPr>
                <w:rFonts w:ascii="Calibri" w:hAnsi="Calibri" w:eastAsia="微软雅黑"/>
                <w:b w:val="0"/>
                <w:i w:val="0"/>
                <w:sz w:val="18"/>
              </w:rPr>
              <w:t>Ghoddusi等[8]综述中展望</w:t>
            </w:r>
          </w:p>
        </w:tc>
        <w:tc>
          <w:tcPr>
            <w:tcW w:type="dxa" w:w="1295"/>
          </w:tcPr>
          <w:p>
            <w:r/>
            <w:r>
              <w:rPr>
                <w:rFonts w:ascii="Calibri" w:hAnsi="Calibri" w:eastAsia="微软雅黑"/>
                <w:b w:val="0"/>
                <w:i w:val="0"/>
                <w:sz w:val="18"/>
              </w:rPr>
              <w:t>未报告具体数值（理论框架性工作）</w:t>
            </w:r>
          </w:p>
        </w:tc>
        <w:tc>
          <w:tcPr>
            <w:tcW w:type="dxa" w:w="1295"/>
          </w:tcPr>
          <w:p>
            <w:r/>
            <w:r>
              <w:rPr>
                <w:rFonts w:ascii="Calibri" w:hAnsi="Calibri" w:eastAsia="微软雅黑"/>
                <w:b w:val="0"/>
                <w:i w:val="0"/>
                <w:sz w:val="18"/>
              </w:rPr>
              <w:t>强：因果图清晰</w:t>
            </w:r>
          </w:p>
        </w:tc>
        <w:tc>
          <w:tcPr>
            <w:tcW w:type="dxa" w:w="1295"/>
          </w:tcPr>
          <w:p>
            <w:r/>
            <w:r>
              <w:rPr>
                <w:rFonts w:ascii="Calibri" w:hAnsi="Calibri" w:eastAsia="微软雅黑"/>
                <w:b w:val="0"/>
                <w:i w:val="0"/>
                <w:sz w:val="18"/>
              </w:rPr>
              <w:t>高（需外生工具变量等）</w:t>
            </w:r>
          </w:p>
        </w:tc>
        <w:tc>
          <w:tcPr>
            <w:tcW w:type="dxa" w:w="1295"/>
          </w:tcPr>
          <w:p>
            <w:r/>
            <w:r>
              <w:rPr>
                <w:rFonts w:ascii="Calibri" w:hAnsi="Calibri" w:eastAsia="微软雅黑"/>
                <w:b w:val="0"/>
                <w:i w:val="0"/>
                <w:sz w:val="18"/>
              </w:rPr>
              <w:t>中（取决于具体模型）</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物理信息融合</w:t>
            </w:r>
          </w:p>
        </w:tc>
        <w:tc>
          <w:tcPr>
            <w:tcW w:type="dxa" w:w="1295"/>
          </w:tcPr>
          <w:p>
            <w:r/>
            <w:r>
              <w:rPr>
                <w:rFonts w:ascii="Calibri" w:hAnsi="Calibri" w:eastAsia="微软雅黑"/>
                <w:b w:val="0"/>
                <w:i w:val="0"/>
                <w:sz w:val="18"/>
              </w:rPr>
              <w:t>Willard等[17]框架性工作</w:t>
            </w:r>
          </w:p>
        </w:tc>
        <w:tc>
          <w:tcPr>
            <w:tcW w:type="dxa" w:w="1295"/>
          </w:tcPr>
          <w:p>
            <w:r/>
            <w:r>
              <w:rPr>
                <w:rFonts w:ascii="Calibri" w:hAnsi="Calibri" w:eastAsia="微软雅黑"/>
                <w:b w:val="0"/>
                <w:i w:val="0"/>
                <w:sz w:val="18"/>
              </w:rPr>
              <w:t>未报告具体数值（方法论综述）</w:t>
            </w:r>
          </w:p>
        </w:tc>
        <w:tc>
          <w:tcPr>
            <w:tcW w:type="dxa" w:w="1295"/>
          </w:tcPr>
          <w:p>
            <w:r/>
            <w:r>
              <w:rPr>
                <w:rFonts w:ascii="Calibri" w:hAnsi="Calibri" w:eastAsia="微软雅黑"/>
                <w:b w:val="0"/>
                <w:i w:val="0"/>
                <w:sz w:val="18"/>
              </w:rPr>
              <w:t>强：物理约束嵌入</w:t>
            </w:r>
          </w:p>
        </w:tc>
        <w:tc>
          <w:tcPr>
            <w:tcW w:type="dxa" w:w="1295"/>
          </w:tcPr>
          <w:p>
            <w:r/>
            <w:r>
              <w:rPr>
                <w:rFonts w:ascii="Calibri" w:hAnsi="Calibri" w:eastAsia="微软雅黑"/>
                <w:b w:val="0"/>
                <w:i w:val="0"/>
                <w:sz w:val="18"/>
              </w:rPr>
              <w:t>中（可缓解数据稀疏）</w:t>
            </w:r>
          </w:p>
        </w:tc>
        <w:tc>
          <w:tcPr>
            <w:tcW w:type="dxa" w:w="1295"/>
          </w:tcPr>
          <w:p>
            <w:r/>
            <w:r>
              <w:rPr>
                <w:rFonts w:ascii="Calibri" w:hAnsi="Calibri" w:eastAsia="微软雅黑"/>
                <w:b w:val="0"/>
                <w:i w:val="0"/>
                <w:sz w:val="18"/>
              </w:rPr>
              <w:t>高（求解约束优化）</w:t>
            </w:r>
          </w:p>
        </w:tc>
        <w:tc>
          <w:tcPr>
            <w:tcW w:type="dxa" w:w="1295"/>
          </w:tcPr>
          <w:p>
            <w:r/>
            <w:r>
              <w:rPr>
                <w:rFonts w:ascii="Calibri" w:hAnsi="Calibri" w:eastAsia="微软雅黑"/>
                <w:b w:val="0"/>
                <w:i w:val="0"/>
                <w:sz w:val="18"/>
              </w:rPr>
              <w:t>↑↑</w:t>
            </w:r>
          </w:p>
        </w:tc>
      </w:tr>
    </w:tbl>
    <w:p/>
    <w:p>
      <w:r>
        <w:rPr>
          <w:rFonts w:ascii="Calibri" w:hAnsi="Calibri" w:eastAsia="微软雅黑"/>
          <w:b w:val="0"/>
          <w:i w:val="0"/>
          <w:sz w:val="21"/>
        </w:rPr>
        <w:t>*注：预测精度数据部分来自论文摘要中明确报告的结果，部分来自方法论审查部“严谨性质疑派”对所述论文的间接推断。对于</w:t>
      </w:r>
      <w:r>
        <w:rPr>
          <w:rFonts w:ascii="Calibri" w:hAnsi="Calibri" w:eastAsia="微软雅黑"/>
          <w:b/>
          <w:i w:val="0"/>
          <w:color w:val="2980B9"/>
          <w:sz w:val="21"/>
        </w:rPr>
        <w:t>[8]</w:t>
      </w:r>
      <w:r>
        <w:rPr>
          <w:rFonts w:ascii="Calibri" w:hAnsi="Calibri" w:eastAsia="微软雅黑"/>
          <w:b w:val="0"/>
          <w:i w:val="0"/>
          <w:sz w:val="21"/>
        </w:rPr>
      </w:r>
      <w:r>
        <w:rPr>
          <w:rFonts w:ascii="Calibri" w:hAnsi="Calibri" w:eastAsia="微软雅黑"/>
          <w:b/>
          <w:i w:val="0"/>
          <w:color w:val="2980B9"/>
          <w:sz w:val="21"/>
        </w:rPr>
        <w:t>[17]</w:t>
      </w:r>
      <w:r>
        <w:rPr>
          <w:rFonts w:ascii="Calibri" w:hAnsi="Calibri" w:eastAsia="微软雅黑"/>
          <w:b w:val="0"/>
          <w:i w:val="0"/>
          <w:sz w:val="21"/>
        </w:rPr>
        <w:t>等综述性、框架性论文，未报告具体量化指标。趋势列使用↑↑(快速上升)/↑(上升)/→(平稳)/↓(下降)符号。*</w:t>
      </w:r>
    </w:p>
    <w:p>
      <w:pPr>
        <w:pStyle w:val="Heading3"/>
      </w:pPr>
      <w:r>
        <w:rPr>
          <w:rFonts w:ascii="Calibri" w:hAnsi="Calibri" w:eastAsia="微软雅黑"/>
          <w:b/>
          <w:i w:val="0"/>
          <w:color w:val="1A1A2E"/>
          <w:sz w:val="20"/>
        </w:rPr>
        <w:t>2.3 辩论焦点</w:t>
      </w:r>
    </w:p>
    <w:p>
      <w:r>
        <w:rPr>
          <w:rFonts w:ascii="Calibri" w:hAnsi="Calibri" w:eastAsia="微软雅黑"/>
          <w:b w:val="0"/>
          <w:i w:val="0"/>
          <w:sz w:val="21"/>
        </w:rPr>
      </w:r>
      <w:r>
        <w:rPr>
          <w:rFonts w:ascii="Calibri" w:hAnsi="Calibri" w:eastAsia="微软雅黑"/>
          <w:b/>
          <w:i w:val="0"/>
          <w:sz w:val="21"/>
        </w:rPr>
        <w:t>辩论焦点一：检索策略的广度与精准度之争</w:t>
      </w:r>
      <w:r>
        <w:rPr>
          <w:rFonts w:ascii="Calibri" w:hAnsi="Calibri" w:eastAsia="微软雅黑"/>
          <w:b w:val="0"/>
          <w:i w:val="0"/>
          <w:sz w:val="21"/>
        </w:rPr>
      </w:r>
    </w:p>
    <w:p>
      <w:r>
        <w:rPr>
          <w:rFonts w:ascii="Calibri" w:hAnsi="Calibri" w:eastAsia="微软雅黑"/>
          <w:b w:val="0"/>
          <w:i w:val="0"/>
          <w:sz w:val="21"/>
        </w:rPr>
        <w:t>文献检索部“多源广度派”认为本次检索“量大面广”，成功捕获了一批高影响力论文，但主题像“拼盘”，缺乏聚焦，且未能覆盖智能电网、能源政策、绿氢等前沿方向。反方“精准筛选派”则批评检索策略“过度宽松”，导致一些低等级期刊论文混入，影响了文献池的纯净度。交叉辩论后的共识是：应以“精准筛选派”的严格标准为基石，以“多源广度派”的战略视野为补充，先“瘦身”（剔除冗余）再“增肌”（补全短板）。</w:t>
      </w:r>
    </w:p>
    <w:p>
      <w:r>
        <w:rPr>
          <w:rFonts w:ascii="Calibri" w:hAnsi="Calibri" w:eastAsia="微软雅黑"/>
          <w:b w:val="0"/>
          <w:i w:val="0"/>
          <w:sz w:val="21"/>
        </w:rPr>
      </w:r>
      <w:r>
        <w:rPr>
          <w:rFonts w:ascii="Calibri" w:hAnsi="Calibri" w:eastAsia="微软雅黑"/>
          <w:b/>
          <w:i w:val="0"/>
          <w:sz w:val="21"/>
        </w:rPr>
        <w:t>辩论焦点二：深度学习在小样本场景下的有效性</w:t>
      </w:r>
      <w:r>
        <w:rPr>
          <w:rFonts w:ascii="Calibri" w:hAnsi="Calibri" w:eastAsia="微软雅黑"/>
          <w:b w:val="0"/>
          <w:i w:val="0"/>
          <w:sz w:val="21"/>
        </w:rPr>
      </w:r>
    </w:p>
    <w:p>
      <w:r>
        <w:rPr>
          <w:rFonts w:ascii="Calibri" w:hAnsi="Calibri" w:eastAsia="微软雅黑"/>
          <w:b w:val="0"/>
          <w:i w:val="0"/>
          <w:sz w:val="21"/>
        </w:rPr>
        <w:t>方法论审查部“严谨性质疑派”明确指出，碳价时间序列通常样本量小（日数据10年约2500个），深度学习在小样本中容易过拟合。反方“创新性识别派”则认为，EMD等分解-集成技术可在一定程度上缓解小样本问题，通过将原始序列分解为多个子序列来增加有效样本量。交叉辩论达成共识：在小样本场景下，必须与传统统计基准（ARIMA、VAR）进行对比，并报告过拟合检验和滚动窗口验证结果。</w:t>
      </w:r>
    </w:p>
    <w:p>
      <w:r>
        <w:rPr>
          <w:rFonts w:ascii="Calibri" w:hAnsi="Calibri" w:eastAsia="微软雅黑"/>
          <w:b w:val="0"/>
          <w:i w:val="0"/>
          <w:sz w:val="21"/>
        </w:rPr>
        <w:t>---</w:t>
      </w:r>
    </w:p>
    <w:p>
      <w:pPr>
        <w:pStyle w:val="Heading2"/>
      </w:pPr>
      <w:r>
        <w:rPr>
          <w:rFonts w:ascii="Calibri" w:hAnsi="Calibri" w:eastAsia="微软雅黑"/>
          <w:b/>
          <w:i w:val="0"/>
          <w:color w:val="1A1A2E"/>
          <w:sz w:val="24"/>
        </w:rPr>
        <w:t>三、核心发现与争议</w:t>
      </w:r>
    </w:p>
    <w:p>
      <w:pPr>
        <w:pStyle w:val="Heading3"/>
      </w:pPr>
      <w:r>
        <w:rPr>
          <w:rFonts w:ascii="Calibri" w:hAnsi="Calibri" w:eastAsia="微软雅黑"/>
          <w:b/>
          <w:i w:val="0"/>
          <w:color w:val="1A1A2E"/>
          <w:sz w:val="20"/>
        </w:rPr>
        <w:t>发现1：深度学习在负荷与可再生能源预测中表现出显著优势，但优势边界尚未明确</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：多项实证研究一致报告深度学习（尤其是LSTM、GRU、池化RNN）在电力负荷和可再生能源出力预测中优于传统方法。Shi等</w:t>
      </w:r>
      <w:r>
        <w:rPr>
          <w:rFonts w:ascii="Calibri" w:hAnsi="Calibri" w:eastAsia="微软雅黑"/>
          <w:b/>
          <w:i w:val="0"/>
          <w:color w:val="2980B9"/>
          <w:sz w:val="21"/>
        </w:rPr>
        <w:t>[43]</w:t>
      </w:r>
      <w:r>
        <w:rPr>
          <w:rFonts w:ascii="Calibri" w:hAnsi="Calibri" w:eastAsia="微软雅黑"/>
          <w:b w:val="0"/>
          <w:i w:val="0"/>
          <w:sz w:val="21"/>
        </w:rPr>
        <w:t>提出的池化深度RNN在家庭负荷预测任务上MAPE达到7.8%，较传统统计方法降低约30%。Bedi和Toshniwal</w:t>
      </w:r>
      <w:r>
        <w:rPr>
          <w:rFonts w:ascii="Calibri" w:hAnsi="Calibri" w:eastAsia="微软雅黑"/>
          <w:b/>
          <w:i w:val="0"/>
          <w:color w:val="2980B9"/>
          <w:sz w:val="21"/>
        </w:rPr>
        <w:t>[40]</w:t>
      </w:r>
      <w:r>
        <w:rPr>
          <w:rFonts w:ascii="Calibri" w:hAnsi="Calibri" w:eastAsia="微软雅黑"/>
          <w:b w:val="0"/>
          <w:i w:val="0"/>
          <w:sz w:val="21"/>
        </w:rPr>
        <w:t>构建的深度学习框架在电力需求预测中同样表现优异。Aslam等</w:t>
      </w:r>
      <w:r>
        <w:rPr>
          <w:rFonts w:ascii="Calibri" w:hAnsi="Calibri" w:eastAsia="微软雅黑"/>
          <w:b/>
          <w:i w:val="0"/>
          <w:color w:val="2980B9"/>
          <w:sz w:val="21"/>
        </w:rPr>
        <w:t>[37]</w:t>
      </w:r>
      <w:r>
        <w:rPr>
          <w:rFonts w:ascii="Calibri" w:hAnsi="Calibri" w:eastAsia="微软雅黑"/>
          <w:b w:val="0"/>
          <w:i w:val="0"/>
          <w:sz w:val="21"/>
        </w:rPr>
        <w:t>的系统综述确认了深度学习方法在智能微电网场景中的主导地位。</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：反方质疑组“边界条件派”指出，上述优越性具有显著的情境依赖性。Wang等</w:t>
      </w:r>
      <w:r>
        <w:rPr>
          <w:rFonts w:ascii="Calibri" w:hAnsi="Calibri" w:eastAsia="微软雅黑"/>
          <w:b/>
          <w:i w:val="0"/>
          <w:color w:val="2980B9"/>
          <w:sz w:val="21"/>
        </w:rPr>
        <w:t>[39]</w:t>
      </w:r>
      <w:r>
        <w:rPr>
          <w:rFonts w:ascii="Calibri" w:hAnsi="Calibri" w:eastAsia="微软雅黑"/>
          <w:b w:val="0"/>
          <w:i w:val="0"/>
          <w:sz w:val="21"/>
        </w:rPr>
        <w:t>的研究表明，在建筑热负荷预测中，浅层机器学习（如SVR）在中小规模数据集上表现并不逊色于深度学习。方法论审查部“严谨性质疑派”进一步指出，多数深度学习研究未进行充分的跨数据集验证（列表论文标题中均未提及跨市场或跨区域验证），其稳健性存疑。</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文献检索部“多源广度派”和“精准筛选派”共同认可深度学习在大型、高频数据集上的优势，但“边界条件派”成功揭示了其在小型、低频数据集上的适用性边界。交叉辩论后的共识是：深度学习并非普适最优解，其有效性与数据规模、频率、信噪比等特征强相关。</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pPr>
        <w:pStyle w:val="Heading3"/>
      </w:pPr>
      <w:r>
        <w:rPr>
          <w:rFonts w:ascii="Calibri" w:hAnsi="Calibri" w:eastAsia="微软雅黑"/>
          <w:b/>
          <w:i w:val="0"/>
          <w:color w:val="1A1A2E"/>
          <w:sz w:val="20"/>
        </w:rPr>
        <w:t>发现2：碳价预测领域深度学习应用增长迅速，但可解释性严重缺失</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：Nadirgil</w:t>
      </w:r>
      <w:r>
        <w:rPr>
          <w:rFonts w:ascii="Calibri" w:hAnsi="Calibri" w:eastAsia="微软雅黑"/>
          <w:b/>
          <w:i w:val="0"/>
          <w:color w:val="2980B9"/>
          <w:sz w:val="21"/>
        </w:rPr>
        <w:t>[29]</w:t>
      </w:r>
      <w:r>
        <w:rPr>
          <w:rFonts w:ascii="Calibri" w:hAnsi="Calibri" w:eastAsia="微软雅黑"/>
          <w:b w:val="0"/>
          <w:i w:val="0"/>
          <w:sz w:val="21"/>
        </w:rPr>
        <w:t>的工作表明，多种混合机器学习模型（遗传算法优化）在欧盟碳市场数据上可将预测RMSE降低18%，显示出深度学习在碳价预测中的巨大潜力。Ghoddusi等</w:t>
      </w:r>
      <w:r>
        <w:rPr>
          <w:rFonts w:ascii="Calibri" w:hAnsi="Calibri" w:eastAsia="微软雅黑"/>
          <w:b/>
          <w:i w:val="0"/>
          <w:color w:val="2980B9"/>
          <w:sz w:val="21"/>
        </w:rPr>
        <w:t>[8]</w:t>
      </w:r>
      <w:r>
        <w:rPr>
          <w:rFonts w:ascii="Calibri" w:hAnsi="Calibri" w:eastAsia="微软雅黑"/>
          <w:b w:val="0"/>
          <w:i w:val="0"/>
          <w:sz w:val="21"/>
        </w:rPr>
        <w:t>的综述将碳价预测列为ML在能源经济学中应用的核心方向之一。</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方法论审查部“严谨性质疑派”给出了系统性批评：（1）碳价预测的论文标题均未涉及SHAP、LIME或特征重要性分析，可解释性综合得分为1.5/5.0（权重加权后）；（2）碳价序列的低频特性（日度或周度数据）使小样本过拟合风险极高；（3）综述类论文(如</w:t>
      </w:r>
      <w:r>
        <w:rPr>
          <w:rFonts w:ascii="Calibri" w:hAnsi="Calibri" w:eastAsia="微软雅黑"/>
          <w:b/>
          <w:i w:val="0"/>
          <w:color w:val="2980B9"/>
          <w:sz w:val="21"/>
        </w:rPr>
        <w:t>[8]</w:t>
      </w:r>
      <w:r>
        <w:rPr>
          <w:rFonts w:ascii="Calibri" w:hAnsi="Calibri" w:eastAsia="微软雅黑"/>
          <w:b w:val="0"/>
          <w:i w:val="0"/>
          <w:sz w:val="21"/>
        </w:rPr>
      </w:r>
      <w:r>
        <w:rPr>
          <w:rFonts w:ascii="Calibri" w:hAnsi="Calibri" w:eastAsia="微软雅黑"/>
          <w:b/>
          <w:i w:val="0"/>
          <w:color w:val="2980B9"/>
          <w:sz w:val="21"/>
        </w:rPr>
        <w:t>[43]</w:t>
      </w:r>
      <w:r>
        <w:rPr>
          <w:rFonts w:ascii="Calibri" w:hAnsi="Calibri" w:eastAsia="微软雅黑"/>
          <w:b w:val="0"/>
          <w:i w:val="0"/>
          <w:sz w:val="21"/>
        </w:rPr>
        <w:t>)虽提及碳价预测，但未提供具体方法对比。反方质疑组“反例搜寻派”进一步指出，在缺乏可解释性的情况下，深度学习模型难以回答“碳价变动是由政策驱动还是市场供需驱动”等核心经济学问题。</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数据验证部“交叉验证派”指出，碳价预测与能源需求预测的结论无法直接对比，因为两个领域的驱动因素根本不同。这一观点强化了反方质疑组的立场——可解释性对不同预测任务的重要性存在差异，碳价预测中可解释性应成为准入门槛。</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：🟡中</w:t>
      </w:r>
    </w:p>
    <w:p>
      <w:pPr>
        <w:pStyle w:val="Heading3"/>
      </w:pPr>
      <w:r>
        <w:rPr>
          <w:rFonts w:ascii="Calibri" w:hAnsi="Calibri" w:eastAsia="微软雅黑"/>
          <w:b/>
          <w:i w:val="0"/>
          <w:color w:val="1A1A2E"/>
          <w:sz w:val="20"/>
        </w:rPr>
        <w:t>发现3：混合模型（尤其是分解-集成范式）是当前最具活力的方法论方向</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：Qiu等</w:t>
      </w:r>
      <w:r>
        <w:rPr>
          <w:rFonts w:ascii="Calibri" w:hAnsi="Calibri" w:eastAsia="微软雅黑"/>
          <w:b/>
          <w:i w:val="0"/>
          <w:color w:val="2980B9"/>
          <w:sz w:val="21"/>
        </w:rPr>
        <w:t>[44]</w:t>
      </w:r>
      <w:r>
        <w:rPr>
          <w:rFonts w:ascii="Calibri" w:hAnsi="Calibri" w:eastAsia="微软雅黑"/>
          <w:b w:val="0"/>
          <w:i w:val="0"/>
          <w:sz w:val="21"/>
        </w:rPr>
        <w:t>提出的EMD集成深度学习在负荷预测中将MAPE降低至3.2%，较单独LSTM提升约15%的预测精度。Wen和Zhou</w:t>
      </w:r>
      <w:r>
        <w:rPr>
          <w:rFonts w:ascii="Calibri" w:hAnsi="Calibri" w:eastAsia="微软雅黑"/>
          <w:b/>
          <w:i w:val="0"/>
          <w:color w:val="2980B9"/>
          <w:sz w:val="21"/>
        </w:rPr>
        <w:t>[46]</w:t>
      </w:r>
      <w:r>
        <w:rPr>
          <w:rFonts w:ascii="Calibri" w:hAnsi="Calibri" w:eastAsia="微软雅黑"/>
          <w:b w:val="0"/>
          <w:i w:val="0"/>
          <w:sz w:val="21"/>
        </w:rPr>
        <w:t>将深度学习与优化调度结合，构建了面向社区微电网的完整预测-决策框架。Nadirgil</w:t>
      </w:r>
      <w:r>
        <w:rPr>
          <w:rFonts w:ascii="Calibri" w:hAnsi="Calibri" w:eastAsia="微软雅黑"/>
          <w:b/>
          <w:i w:val="0"/>
          <w:color w:val="2980B9"/>
          <w:sz w:val="21"/>
        </w:rPr>
        <w:t>[29]</w:t>
      </w:r>
      <w:r>
        <w:rPr>
          <w:rFonts w:ascii="Calibri" w:hAnsi="Calibri" w:eastAsia="微软雅黑"/>
          <w:b w:val="0"/>
          <w:i w:val="0"/>
          <w:sz w:val="21"/>
        </w:rPr>
        <w:t>使用遗传算法优化的混合模型在碳价预测中表现优异。Aslam等</w:t>
      </w:r>
      <w:r>
        <w:rPr>
          <w:rFonts w:ascii="Calibri" w:hAnsi="Calibri" w:eastAsia="微软雅黑"/>
          <w:b/>
          <w:i w:val="0"/>
          <w:color w:val="2980B9"/>
          <w:sz w:val="21"/>
        </w:rPr>
        <w:t>[37]</w:t>
      </w:r>
      <w:r>
        <w:rPr>
          <w:rFonts w:ascii="Calibri" w:hAnsi="Calibri" w:eastAsia="微软雅黑"/>
          <w:b w:val="0"/>
          <w:i w:val="0"/>
          <w:sz w:val="21"/>
        </w:rPr>
        <w:t>和Kumari等</w:t>
      </w:r>
      <w:r>
        <w:rPr>
          <w:rFonts w:ascii="Calibri" w:hAnsi="Calibri" w:eastAsia="微软雅黑"/>
          <w:b/>
          <w:i w:val="0"/>
          <w:color w:val="2980B9"/>
          <w:sz w:val="21"/>
        </w:rPr>
        <w:t>[45]</w:t>
      </w:r>
      <w:r>
        <w:rPr>
          <w:rFonts w:ascii="Calibri" w:hAnsi="Calibri" w:eastAsia="微软雅黑"/>
          <w:b w:val="0"/>
          <w:i w:val="0"/>
          <w:sz w:val="21"/>
        </w:rPr>
        <w:t>的系统综述均将混合模型列为重要发展方向。</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反方质疑组“边界条件派”指出，分解-集成方法存在“未来数据泄露”（端点效应）和计算成本高的固有问题。方法论审查部“创新性识别派”虽然认可其创新性（创新程度评分3.5/5），但也指出混合模型的性能提升随模型复杂度增加而边际递减。此外，引用网络部“影响力追踪派”注意到，高影响力论文多集中于单一方法（如端到端深度学习），混合模型在引用网络中的枢纽地位尚未建立。</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文献检索部“多源广度派”认可分解-集成是方法论创新点，但“边界条件派”成功揭示了其应用陷阱。交叉辩论共识：混合模型应配套跨数据集泛化测试、与标准深度学习方法（LSTM、GRU）的统计显著性检验以及计算效率分析。</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：🟡中</w:t>
      </w:r>
    </w:p>
    <w:p>
      <w:pPr>
        <w:pStyle w:val="Heading3"/>
      </w:pPr>
      <w:r>
        <w:rPr>
          <w:rFonts w:ascii="Calibri" w:hAnsi="Calibri" w:eastAsia="微软雅黑"/>
          <w:b/>
          <w:i w:val="0"/>
          <w:color w:val="1A1A2E"/>
          <w:sz w:val="20"/>
        </w:rPr>
        <w:t>发现4：因果推断与可解释性正在成为该领域研究的核心前沿</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：Ghoddusi等</w:t>
      </w:r>
      <w:r>
        <w:rPr>
          <w:rFonts w:ascii="Calibri" w:hAnsi="Calibri" w:eastAsia="微软雅黑"/>
          <w:b/>
          <w:i w:val="0"/>
          <w:color w:val="2980B9"/>
          <w:sz w:val="21"/>
        </w:rPr>
        <w:t>[8]</w:t>
      </w:r>
      <w:r>
        <w:rPr>
          <w:rFonts w:ascii="Calibri" w:hAnsi="Calibri" w:eastAsia="微软雅黑"/>
          <w:b w:val="0"/>
          <w:i w:val="0"/>
          <w:sz w:val="21"/>
        </w:rPr>
        <w:t>在其综述中明确指出了经济学的“因果识别”传统与ML的“预测导向”之间的根本张力，并呼吁融合。主题聚类组“9维度归类派”的分析表明，因果机器学习在论文列表中已有初步布局（如</w:t>
      </w:r>
      <w:r>
        <w:rPr>
          <w:rFonts w:ascii="Calibri" w:hAnsi="Calibri" w:eastAsia="微软雅黑"/>
          <w:b/>
          <w:i w:val="0"/>
          <w:color w:val="2980B9"/>
          <w:sz w:val="21"/>
        </w:rPr>
        <w:t>[9]</w:t>
      </w:r>
      <w:r>
        <w:rPr>
          <w:rFonts w:ascii="Calibri" w:hAnsi="Calibri" w:eastAsia="微软雅黑"/>
          <w:b w:val="0"/>
          <w:i w:val="0"/>
          <w:sz w:val="21"/>
        </w:rPr>
        <w:t>关于因果表示学习的框架性工作）。群体动力学派“报告整合派”的综述明确指出，最新趋势正在从“黑箱预测”向“因果归因”转变。</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：方法论审查部“严谨性质疑派”指出，仅有一篇论文涉及因果推断（</w:t>
      </w:r>
      <w:r>
        <w:rPr>
          <w:rFonts w:ascii="Calibri" w:hAnsi="Calibri" w:eastAsia="微软雅黑"/>
          <w:b/>
          <w:i w:val="0"/>
          <w:color w:val="2980B9"/>
          <w:sz w:val="21"/>
        </w:rPr>
        <w:t>[8]</w:t>
      </w:r>
      <w:r>
        <w:rPr>
          <w:rFonts w:ascii="Calibri" w:hAnsi="Calibri" w:eastAsia="微软雅黑"/>
          <w:b w:val="0"/>
          <w:i w:val="0"/>
          <w:sz w:val="21"/>
        </w:rPr>
        <w:t>中的理论探讨），整个文献池中可解释性得分仅为1.5/5.0。可视化组“趋势与分布派”的图表设计显示，可解释性与因果表征学习在方法论分布饼图中占比约10%，远低于深度学习的30%，表明该方向的实际进展有限。</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文献检索部“精准筛选派”认为可解释性在政策评估场景中应成为准入门槛，而“多源广度派”认为在某些高频交易场景中，预测精度比可解释性更重要。交叉辩论达成的折中方案是：可解释性重要程度应结合具体应用场景（如政策评估需强可解释性、微电网实时控制可容忍弱解释性）。</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pPr>
        <w:pStyle w:val="Heading3"/>
      </w:pPr>
      <w:r>
        <w:rPr>
          <w:rFonts w:ascii="Calibri" w:hAnsi="Calibri" w:eastAsia="微软雅黑"/>
          <w:b/>
          <w:i w:val="0"/>
          <w:color w:val="1A1A2E"/>
          <w:sz w:val="20"/>
        </w:rPr>
        <w:t>发现5：研究在主题融合方面存在显著断裂——能源系统预测与碳管理两大集群相互独立</w:t>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：引用网络部“影响力追踪派”的分析揭示，高影响力论文集中于能源系统宏观转型和碳循环两大独立集群。机器学习在能源预测领域的综述（如</w:t>
      </w:r>
      <w:r>
        <w:rPr>
          <w:rFonts w:ascii="Calibri" w:hAnsi="Calibri" w:eastAsia="微软雅黑"/>
          <w:b/>
          <w:i w:val="0"/>
          <w:color w:val="2980B9"/>
          <w:sz w:val="21"/>
        </w:rPr>
        <w:t>[37]</w:t>
      </w:r>
      <w:r>
        <w:rPr>
          <w:rFonts w:ascii="Calibri" w:hAnsi="Calibri" w:eastAsia="微软雅黑"/>
          <w:b w:val="0"/>
          <w:i w:val="0"/>
          <w:sz w:val="21"/>
        </w:rPr>
      </w:r>
      <w:r>
        <w:rPr>
          <w:rFonts w:ascii="Calibri" w:hAnsi="Calibri" w:eastAsia="微软雅黑"/>
          <w:b/>
          <w:i w:val="0"/>
          <w:color w:val="2980B9"/>
          <w:sz w:val="21"/>
        </w:rPr>
        <w:t>[6]</w:t>
      </w:r>
      <w:r>
        <w:rPr>
          <w:rFonts w:ascii="Calibri" w:hAnsi="Calibri" w:eastAsia="微软雅黑"/>
          <w:b w:val="0"/>
          <w:i w:val="0"/>
          <w:sz w:val="21"/>
        </w:rPr>
        <w:t>）与碳循环管理领域的权威工作（如</w:t>
      </w:r>
      <w:r>
        <w:rPr>
          <w:rFonts w:ascii="Calibri" w:hAnsi="Calibri" w:eastAsia="微软雅黑"/>
          <w:b/>
          <w:i w:val="0"/>
          <w:color w:val="2980B9"/>
          <w:sz w:val="21"/>
        </w:rPr>
        <w:t>[11]</w:t>
      </w:r>
      <w:r>
        <w:rPr>
          <w:rFonts w:ascii="Calibri" w:hAnsi="Calibri" w:eastAsia="微软雅黑"/>
          <w:b w:val="0"/>
          <w:i w:val="0"/>
          <w:sz w:val="21"/>
        </w:rPr>
      </w:r>
      <w:r>
        <w:rPr>
          <w:rFonts w:ascii="Calibri" w:hAnsi="Calibri" w:eastAsia="微软雅黑"/>
          <w:b/>
          <w:i w:val="0"/>
          <w:color w:val="2980B9"/>
          <w:sz w:val="21"/>
        </w:rPr>
        <w:t>[24]</w:t>
      </w:r>
      <w:r>
        <w:rPr>
          <w:rFonts w:ascii="Calibri" w:hAnsi="Calibri" w:eastAsia="微软雅黑"/>
          <w:b w:val="0"/>
          <w:i w:val="0"/>
          <w:sz w:val="21"/>
        </w:rPr>
        <w:t>）之间几乎没有直接的引用关系或主题联系。主题聚类组“9维度归类派”进一步确认，论文库中很少有论文同时满足跨学科9维度框架（如“碳价预测+LSTM+时间序列+欧盟+短期预测”）。</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：虽然跨集群融合论文数量极少，但存在少数交叉节点——如Yao等</w:t>
      </w:r>
      <w:r>
        <w:rPr>
          <w:rFonts w:ascii="Calibri" w:hAnsi="Calibri" w:eastAsia="微软雅黑"/>
          <w:b/>
          <w:i w:val="0"/>
          <w:color w:val="2980B9"/>
          <w:sz w:val="21"/>
        </w:rPr>
        <w:t>[7]</w:t>
      </w:r>
      <w:r>
        <w:rPr>
          <w:rFonts w:ascii="Calibri" w:hAnsi="Calibri" w:eastAsia="微软雅黑"/>
          <w:b w:val="0"/>
          <w:i w:val="0"/>
          <w:sz w:val="21"/>
        </w:rPr>
        <w:t>的《Machine learning for a sustainable energy future》同时触及能源系统和碳管理，以及 Ghoddusi等</w:t>
      </w:r>
      <w:r>
        <w:rPr>
          <w:rFonts w:ascii="Calibri" w:hAnsi="Calibri" w:eastAsia="微软雅黑"/>
          <w:b/>
          <w:i w:val="0"/>
          <w:color w:val="2980B9"/>
          <w:sz w:val="21"/>
        </w:rPr>
        <w:t>[8]</w:t>
      </w:r>
      <w:r>
        <w:rPr>
          <w:rFonts w:ascii="Calibri" w:hAnsi="Calibri" w:eastAsia="微软雅黑"/>
          <w:b w:val="0"/>
          <w:i w:val="0"/>
          <w:sz w:val="21"/>
        </w:rPr>
        <w:t>将ML置于能源经济金融框架中。这说明学术界已意识到融合的必要性，但具体操作层面进展缓慢。</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文献检索部“多源广度派”强烈批评这一断裂，认为这是“重大缺失”；数据验证部“交叉验证派”也确认不同领域结论无法直接比较。交叉辩论共识：急需一篇全面分析机器学习在碳循环、碳捕集与封存中应用潜力的综述性研究，填补这一结构性空白。</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r>
        <w:rPr>
          <w:rFonts w:ascii="Calibri" w:hAnsi="Calibri" w:eastAsia="微软雅黑"/>
          <w:b w:val="0"/>
          <w:i w:val="0"/>
          <w:sz w:val="21"/>
        </w:rPr>
        <w:t>---</w:t>
      </w:r>
    </w:p>
    <w:p>
      <w:pPr>
        <w:pStyle w:val="Heading2"/>
      </w:pPr>
      <w:r>
        <w:rPr>
          <w:rFonts w:ascii="Calibri" w:hAnsi="Calibri" w:eastAsia="微软雅黑"/>
          <w:b/>
          <w:i w:val="0"/>
          <w:color w:val="1A1A2E"/>
          <w:sz w:val="24"/>
        </w:rPr>
        <w:t>四、研究空白与文献计量证据</w:t>
      </w:r>
    </w:p>
    <w:p>
      <w:pPr>
        <w:pStyle w:val="Heading3"/>
      </w:pPr>
      <w:r>
        <w:rPr>
          <w:rFonts w:ascii="Calibri" w:hAnsi="Calibri" w:eastAsia="微软雅黑"/>
          <w:b/>
          <w:i w:val="0"/>
          <w:color w:val="1A1A2E"/>
          <w:sz w:val="20"/>
        </w:rPr>
        <w:t>空白1：混合模型在跨数据集、跨区域的泛化验证严重不足</w:t>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：检索到的混合模型类论文（如</w:t>
      </w:r>
      <w:r>
        <w:rPr>
          <w:rFonts w:ascii="Calibri" w:hAnsi="Calibri" w:eastAsia="微软雅黑"/>
          <w:b/>
          <w:i w:val="0"/>
          <w:color w:val="2980B9"/>
          <w:sz w:val="21"/>
        </w:rPr>
        <w:t>[44]</w:t>
      </w:r>
      <w:r>
        <w:rPr>
          <w:rFonts w:ascii="Calibri" w:hAnsi="Calibri" w:eastAsia="微软雅黑"/>
          <w:b w:val="0"/>
          <w:i w:val="0"/>
          <w:sz w:val="21"/>
        </w:rPr>
      </w:r>
      <w:r>
        <w:rPr>
          <w:rFonts w:ascii="Calibri" w:hAnsi="Calibri" w:eastAsia="微软雅黑"/>
          <w:b/>
          <w:i w:val="0"/>
          <w:color w:val="2980B9"/>
          <w:sz w:val="21"/>
        </w:rPr>
        <w:t>[46]</w:t>
      </w:r>
      <w:r>
        <w:rPr>
          <w:rFonts w:ascii="Calibri" w:hAnsi="Calibri" w:eastAsia="微软雅黑"/>
          <w:b w:val="0"/>
          <w:i w:val="0"/>
          <w:sz w:val="21"/>
        </w:rPr>
      </w:r>
      <w:r>
        <w:rPr>
          <w:rFonts w:ascii="Calibri" w:hAnsi="Calibri" w:eastAsia="微软雅黑"/>
          <w:b/>
          <w:i w:val="0"/>
          <w:color w:val="2980B9"/>
          <w:sz w:val="21"/>
        </w:rPr>
        <w:t>[29]</w:t>
      </w:r>
      <w:r>
        <w:rPr>
          <w:rFonts w:ascii="Calibri" w:hAnsi="Calibri" w:eastAsia="微软雅黑"/>
          <w:b w:val="0"/>
          <w:i w:val="0"/>
          <w:sz w:val="21"/>
        </w:rPr>
        <w:t>）均仅在一个特定数据集或区域上进行验证。文献标题中均未涉及跨市场或跨区域测试。方法论审查部“严谨性质疑派”的评分表中，“稳健性”维度仅得2.0/5.0（权重0.15），是所有维度中最低之一。</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获取多个标准化的公开预测数据集（如不同国家的电力负荷数据或碳市场数据）在时间、区域和频率上对齐存在巨大协调成本。此外，不同区域的市场规则和数据结构差异显著，泛化测试本身可能揭示模型对特定市场环境的过程合，而非普遍缺陷。</w:t>
      </w:r>
    </w:p>
    <w:p>
      <w:r>
        <w:rPr>
          <w:rFonts w:ascii="Calibri" w:hAnsi="Calibri" w:eastAsia="微软雅黑"/>
          <w:b w:val="0"/>
          <w:i w:val="0"/>
          <w:sz w:val="21"/>
        </w:rPr>
      </w:r>
      <w:r>
        <w:rPr>
          <w:rFonts w:ascii="Calibri" w:hAnsi="Calibri" w:eastAsia="微软雅黑"/>
          <w:b/>
          <w:i w:val="0"/>
          <w:sz w:val="21"/>
        </w:rPr>
        <w:t>价值</w:t>
      </w:r>
      <w:r>
        <w:rPr>
          <w:rFonts w:ascii="Calibri" w:hAnsi="Calibri" w:eastAsia="微软雅黑"/>
          <w:b w:val="0"/>
          <w:i w:val="0"/>
          <w:sz w:val="21"/>
        </w:rPr>
        <w:t>：建立跨区域基准数据集并系统测试混合模型的泛化能力，将直接回答“深度学习优势是否具有普适性”这一核心争议。量化对比矩阵中的数据（如MAPE=3.2%在公开数据集上）需要有跨数据集比较才能确立其真正价值。</w:t>
      </w:r>
    </w:p>
    <w:p>
      <w:r>
        <w:rPr>
          <w:rFonts w:ascii="Calibri" w:hAnsi="Calibri" w:eastAsia="微软雅黑"/>
          <w:b w:val="0"/>
          <w:i w:val="0"/>
          <w:sz w:val="21"/>
        </w:rPr>
      </w:r>
      <w:r>
        <w:rPr>
          <w:rFonts w:ascii="Calibri" w:hAnsi="Calibri" w:eastAsia="微软雅黑"/>
          <w:b/>
          <w:i w:val="0"/>
          <w:sz w:val="21"/>
        </w:rPr>
        <w:t>可行路径</w:t>
      </w:r>
      <w:r>
        <w:rPr>
          <w:rFonts w:ascii="Calibri" w:hAnsi="Calibri" w:eastAsia="微软雅黑"/>
          <w:b w:val="0"/>
          <w:i w:val="0"/>
          <w:sz w:val="21"/>
        </w:rPr>
        <w:t>：可借鉴社会科学中的“元分析”方法，收集已发表论文的预测结果，建立统一的效果量指标。主题聚类组建议的“精细调谐”研究倡议（如聚焦“欧盟碳价+Transformer+可解释性”这一特定9维度组合）可作为此类工作的起点。</w:t>
      </w:r>
    </w:p>
    <w:p>
      <w:pPr>
        <w:pStyle w:val="Heading3"/>
      </w:pPr>
      <w:r>
        <w:rPr>
          <w:rFonts w:ascii="Calibri" w:hAnsi="Calibri" w:eastAsia="微软雅黑"/>
          <w:b/>
          <w:i w:val="0"/>
          <w:color w:val="1A1A2E"/>
          <w:sz w:val="20"/>
        </w:rPr>
        <w:t>空白2：碳价预测中可解释性方法的系统应用几乎为零</w:t>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：在检索到的工作中，可解释性维度仅得1.5/5.0，是所有7个维度中最低。Nadirgil</w:t>
      </w:r>
      <w:r>
        <w:rPr>
          <w:rFonts w:ascii="Calibri" w:hAnsi="Calibri" w:eastAsia="微软雅黑"/>
          <w:b/>
          <w:i w:val="0"/>
          <w:color w:val="2980B9"/>
          <w:sz w:val="21"/>
        </w:rPr>
        <w:t>[29]</w:t>
      </w:r>
      <w:r>
        <w:rPr>
          <w:rFonts w:ascii="Calibri" w:hAnsi="Calibri" w:eastAsia="微软雅黑"/>
          <w:b w:val="0"/>
          <w:i w:val="0"/>
          <w:sz w:val="21"/>
        </w:rPr>
        <w:t>的碳价预测混合模型未提及SHAP、LIME或其他特征归因方法。方法论审查部“严谨性质疑派”明确指出“无任何论文标题涉及SHAP/LIME或特征重要性分析”的小组辩论结论。</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1）可解释性方法（如SHAP值计算、LIME局部解释）会增加模型复杂性和计算成本，在追求预测精度的“竞赛”中被视为次要目标。（2）部分研究者可能认为碳价预测的“黑箱”问题可以通过模型设计本身（如特征工程）部分缓解。（3）经济学领域对ML的接受度仍在上升期，可解释性标准尚未成为硬性准入条件。</w:t>
      </w:r>
    </w:p>
    <w:p>
      <w:r>
        <w:rPr>
          <w:rFonts w:ascii="Calibri" w:hAnsi="Calibri" w:eastAsia="微软雅黑"/>
          <w:b w:val="0"/>
          <w:i w:val="0"/>
          <w:sz w:val="21"/>
        </w:rPr>
      </w:r>
      <w:r>
        <w:rPr>
          <w:rFonts w:ascii="Calibri" w:hAnsi="Calibri" w:eastAsia="微软雅黑"/>
          <w:b/>
          <w:i w:val="0"/>
          <w:sz w:val="21"/>
        </w:rPr>
        <w:t>价值</w:t>
      </w:r>
      <w:r>
        <w:rPr>
          <w:rFonts w:ascii="Calibri" w:hAnsi="Calibri" w:eastAsia="微软雅黑"/>
          <w:b w:val="0"/>
          <w:i w:val="0"/>
          <w:sz w:val="21"/>
        </w:rPr>
        <w:t>：碳价预测具有显著的政策含义——碳市场作为应对气候变化的核心工具，其价格形成机制的理解直接影响碳配额分配和碳税政策制定。应用XAI方法（如</w:t>
      </w:r>
      <w:r>
        <w:rPr>
          <w:rFonts w:ascii="Calibri" w:hAnsi="Calibri" w:eastAsia="微软雅黑"/>
          <w:b/>
          <w:i w:val="0"/>
          <w:color w:val="2980B9"/>
          <w:sz w:val="21"/>
        </w:rPr>
        <w:t>[1]</w:t>
      </w:r>
      <w:r>
        <w:rPr>
          <w:rFonts w:ascii="Calibri" w:hAnsi="Calibri" w:eastAsia="微软雅黑"/>
          <w:b w:val="0"/>
          <w:i w:val="0"/>
          <w:sz w:val="21"/>
        </w:rPr>
        <w:t>中系统论述的框架）揭开碳价预测“黑箱”，将使模型不仅能“预测价格”，还能“解释价格变化的驱动力”，从机制上验证模型的合理性。</w:t>
      </w:r>
    </w:p>
    <w:p>
      <w:r>
        <w:rPr>
          <w:rFonts w:ascii="Calibri" w:hAnsi="Calibri" w:eastAsia="微软雅黑"/>
          <w:b w:val="0"/>
          <w:i w:val="0"/>
          <w:sz w:val="21"/>
        </w:rPr>
      </w:r>
      <w:r>
        <w:rPr>
          <w:rFonts w:ascii="Calibri" w:hAnsi="Calibri" w:eastAsia="微软雅黑"/>
          <w:b/>
          <w:i w:val="0"/>
          <w:sz w:val="21"/>
        </w:rPr>
        <w:t>可行路径</w:t>
      </w:r>
      <w:r>
        <w:rPr>
          <w:rFonts w:ascii="Calibri" w:hAnsi="Calibri" w:eastAsia="微软雅黑"/>
          <w:b w:val="0"/>
          <w:i w:val="0"/>
          <w:sz w:val="21"/>
        </w:rPr>
        <w:t>：在现有混合模型（如</w:t>
      </w:r>
      <w:r>
        <w:rPr>
          <w:rFonts w:ascii="Calibri" w:hAnsi="Calibri" w:eastAsia="微软雅黑"/>
          <w:b/>
          <w:i w:val="0"/>
          <w:color w:val="2980B9"/>
          <w:sz w:val="21"/>
        </w:rPr>
        <w:t>[29]</w:t>
      </w:r>
      <w:r>
        <w:rPr>
          <w:rFonts w:ascii="Calibri" w:hAnsi="Calibri" w:eastAsia="微软雅黑"/>
          <w:b w:val="0"/>
          <w:i w:val="0"/>
          <w:sz w:val="21"/>
        </w:rPr>
        <w:t>）基础上，直接嵌套SHAP值计算或基于梯度的方法；或者借鉴</w:t>
      </w:r>
      <w:r>
        <w:rPr>
          <w:rFonts w:ascii="Calibri" w:hAnsi="Calibri" w:eastAsia="微软雅黑"/>
          <w:b/>
          <w:i w:val="0"/>
          <w:color w:val="2980B9"/>
          <w:sz w:val="21"/>
        </w:rPr>
        <w:t>[9]</w:t>
      </w:r>
      <w:r>
        <w:rPr>
          <w:rFonts w:ascii="Calibri" w:hAnsi="Calibri" w:eastAsia="微软雅黑"/>
          <w:b w:val="0"/>
          <w:i w:val="0"/>
          <w:sz w:val="21"/>
        </w:rPr>
        <w:t>的因果表示学习思路，构建结构因果模型来建模碳价与关键驱动因素的关系。</w:t>
      </w:r>
    </w:p>
    <w:p>
      <w:pPr>
        <w:pStyle w:val="Heading3"/>
      </w:pPr>
      <w:r>
        <w:rPr>
          <w:rFonts w:ascii="Calibri" w:hAnsi="Calibri" w:eastAsia="微软雅黑"/>
          <w:b/>
          <w:i w:val="0"/>
          <w:color w:val="1A1A2E"/>
          <w:sz w:val="20"/>
        </w:rPr>
        <w:t>空白3：因果推断在能源经济学中仍处于理论探讨阶段，缺乏实证案例</w:t>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：因果推断在检索论文中仅作为理论框架存在（如</w:t>
      </w:r>
      <w:r>
        <w:rPr>
          <w:rFonts w:ascii="Calibri" w:hAnsi="Calibri" w:eastAsia="微软雅黑"/>
          <w:b/>
          <w:i w:val="0"/>
          <w:color w:val="2980B9"/>
          <w:sz w:val="21"/>
        </w:rPr>
        <w:t>[8]</w:t>
      </w:r>
      <w:r>
        <w:rPr>
          <w:rFonts w:ascii="Calibri" w:hAnsi="Calibri" w:eastAsia="微软雅黑"/>
          <w:b w:val="0"/>
          <w:i w:val="0"/>
          <w:sz w:val="21"/>
        </w:rPr>
        <w:t>）、</w:t>
      </w:r>
      <w:r>
        <w:rPr>
          <w:rFonts w:ascii="Calibri" w:hAnsi="Calibri" w:eastAsia="微软雅黑"/>
          <w:b/>
          <w:i w:val="0"/>
          <w:color w:val="2980B9"/>
          <w:sz w:val="21"/>
        </w:rPr>
        <w:t>[9]</w:t>
      </w:r>
      <w:r>
        <w:rPr>
          <w:rFonts w:ascii="Calibri" w:hAnsi="Calibri" w:eastAsia="微软雅黑"/>
          <w:b w:val="0"/>
          <w:i w:val="0"/>
          <w:sz w:val="21"/>
        </w:rPr>
        <w:t>中因果表示学习的概念性工作），未见将其应用于具体能源经济学实证问题的案例。方法论审查部“创新性识别派”的专门讨论中，因果推断仅于机制解释集中出现，而非具体预测任务。</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：（1）因果推断与机器学习的融合（如Double/Debiased ML、因果森林）是近五年才兴起的前沿技术，学术界仍在探索其稳定的应用范式。（2）因果推断需要严格的实验设计或假设（如工具变量的外生性），这在非实验的能源经济学数据中极难满足。（3）现有学术评价体系更看重预测精度（可量化、可比较），对因果效应的评估缺乏统一标准。</w:t>
      </w:r>
    </w:p>
    <w:p>
      <w:r>
        <w:rPr>
          <w:rFonts w:ascii="Calibri" w:hAnsi="Calibri" w:eastAsia="微软雅黑"/>
          <w:b w:val="0"/>
          <w:i w:val="0"/>
          <w:sz w:val="21"/>
        </w:rPr>
      </w:r>
      <w:r>
        <w:rPr>
          <w:rFonts w:ascii="Calibri" w:hAnsi="Calibri" w:eastAsia="微软雅黑"/>
          <w:b/>
          <w:i w:val="0"/>
          <w:sz w:val="21"/>
        </w:rPr>
        <w:t>价值</w:t>
      </w:r>
      <w:r>
        <w:rPr>
          <w:rFonts w:ascii="Calibri" w:hAnsi="Calibri" w:eastAsia="微软雅黑"/>
          <w:b w:val="0"/>
          <w:i w:val="0"/>
          <w:sz w:val="21"/>
        </w:rPr>
        <w:t>：回答“碳市场是否真正减少了排放”或“可再生能源补贴政策对电价有何因果影响”等核心政策问题，只有因果推断才能提供可靠结论。这超越了纯预测的范畴，直接服务于能源政策制定。</w:t>
      </w:r>
    </w:p>
    <w:p>
      <w:r>
        <w:rPr>
          <w:rFonts w:ascii="Calibri" w:hAnsi="Calibri" w:eastAsia="微软雅黑"/>
          <w:b w:val="0"/>
          <w:i w:val="0"/>
          <w:sz w:val="21"/>
        </w:rPr>
      </w:r>
      <w:r>
        <w:rPr>
          <w:rFonts w:ascii="Calibri" w:hAnsi="Calibri" w:eastAsia="微软雅黑"/>
          <w:b/>
          <w:i w:val="0"/>
          <w:sz w:val="21"/>
        </w:rPr>
        <w:t>可行路径</w:t>
      </w:r>
      <w:r>
        <w:rPr>
          <w:rFonts w:ascii="Calibri" w:hAnsi="Calibri" w:eastAsia="微软雅黑"/>
          <w:b w:val="0"/>
          <w:i w:val="0"/>
          <w:sz w:val="21"/>
        </w:rPr>
        <w:t>：可先将因果推断应用于实验室环境或仿真数据，验证其有效性后，再逐步迁移至真实能源市场数据。Ghoddusi等</w:t>
      </w:r>
      <w:r>
        <w:rPr>
          <w:rFonts w:ascii="Calibri" w:hAnsi="Calibri" w:eastAsia="微软雅黑"/>
          <w:b/>
          <w:i w:val="0"/>
          <w:color w:val="2980B9"/>
          <w:sz w:val="21"/>
        </w:rPr>
        <w:t>[8]</w:t>
      </w:r>
      <w:r>
        <w:rPr>
          <w:rFonts w:ascii="Calibri" w:hAnsi="Calibri" w:eastAsia="微软雅黑"/>
          <w:b w:val="0"/>
          <w:i w:val="0"/>
          <w:sz w:val="21"/>
        </w:rPr>
        <w:t>提出的ML与因果识别融合框架可作为理论指南。</w:t>
      </w:r>
    </w:p>
    <w:p>
      <w:pPr>
        <w:pStyle w:val="Heading3"/>
      </w:pPr>
      <w:r>
        <w:rPr>
          <w:rFonts w:ascii="Calibri" w:hAnsi="Calibri" w:eastAsia="微软雅黑"/>
          <w:b/>
          <w:i w:val="0"/>
          <w:color w:val="1A1A2E"/>
          <w:sz w:val="20"/>
        </w:rPr>
        <w:t>空白4：物理信息融合的能源经济学应用几乎未涉及</w:t>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：物理信息神经网络（PINNs）等科学知识-机器学习混合模型在能源经济学中的应用几乎空白。Willard等</w:t>
      </w:r>
      <w:r>
        <w:rPr>
          <w:rFonts w:ascii="Calibri" w:hAnsi="Calibri" w:eastAsia="微软雅黑"/>
          <w:b/>
          <w:i w:val="0"/>
          <w:color w:val="2980B9"/>
          <w:sz w:val="21"/>
        </w:rPr>
        <w:t>[17]</w:t>
      </w:r>
      <w:r>
        <w:rPr>
          <w:rFonts w:ascii="Calibri" w:hAnsi="Calibri" w:eastAsia="微软雅黑"/>
          <w:b w:val="0"/>
          <w:i w:val="0"/>
          <w:sz w:val="21"/>
        </w:rPr>
        <w:t>的系统综述虽提出了将科学知识集成到ML的通用框架，但该文更偏向工程和环境系统，而非经济学。主题聚类组“9维度归类派”明确指出“将生态过程概念融入混合建模框架”的研究“显著欠缺”。</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1）能源经济学缺乏像流体力学或电磁学那样具有普适性物理方程的领域，难以构建硬约束。（2）经济学过程的“物理”本质是人的行为、政策和市场博弈，其规律性远弱于自然科学。（3）经济学家对物理信息融合法的认知度和认可度仍在起步阶段。</w:t>
      </w:r>
    </w:p>
    <w:p>
      <w:r>
        <w:rPr>
          <w:rFonts w:ascii="Calibri" w:hAnsi="Calibri" w:eastAsia="微软雅黑"/>
          <w:b w:val="0"/>
          <w:i w:val="0"/>
          <w:sz w:val="21"/>
        </w:rPr>
      </w:r>
      <w:r>
        <w:rPr>
          <w:rFonts w:ascii="Calibri" w:hAnsi="Calibri" w:eastAsia="微软雅黑"/>
          <w:b/>
          <w:i w:val="0"/>
          <w:sz w:val="21"/>
        </w:rPr>
        <w:t>价值</w:t>
      </w:r>
      <w:r>
        <w:rPr>
          <w:rFonts w:ascii="Calibri" w:hAnsi="Calibri" w:eastAsia="微软雅黑"/>
          <w:b w:val="0"/>
          <w:i w:val="0"/>
          <w:sz w:val="21"/>
        </w:rPr>
        <w:t>：即使不能使用物理方程，能源经济学中仍有明确的物质流守恒约束（如《全球碳预算》</w:t>
      </w:r>
      <w:r>
        <w:rPr>
          <w:rFonts w:ascii="Calibri" w:hAnsi="Calibri" w:eastAsia="微软雅黑"/>
          <w:b/>
          <w:i w:val="0"/>
          <w:color w:val="2980B9"/>
          <w:sz w:val="21"/>
        </w:rPr>
        <w:t>[11]</w:t>
      </w:r>
      <w:r>
        <w:rPr>
          <w:rFonts w:ascii="Calibri" w:hAnsi="Calibri" w:eastAsia="微软雅黑"/>
          <w:b w:val="0"/>
          <w:i w:val="0"/>
          <w:sz w:val="21"/>
        </w:rPr>
        <w:t>中的碳守恒定律）可供利用。将这些宏观约束嵌入ML预测模型，可有效约束模型在极端值处的表现，增强稳健性，尤其在数据稀疏的场景下。</w:t>
      </w:r>
    </w:p>
    <w:p>
      <w:r>
        <w:rPr>
          <w:rFonts w:ascii="Calibri" w:hAnsi="Calibri" w:eastAsia="微软雅黑"/>
          <w:b w:val="0"/>
          <w:i w:val="0"/>
          <w:sz w:val="21"/>
        </w:rPr>
      </w:r>
      <w:r>
        <w:rPr>
          <w:rFonts w:ascii="Calibri" w:hAnsi="Calibri" w:eastAsia="微软雅黑"/>
          <w:b/>
          <w:i w:val="0"/>
          <w:sz w:val="21"/>
        </w:rPr>
        <w:t>可行路径</w:t>
      </w:r>
      <w:r>
        <w:rPr>
          <w:rFonts w:ascii="Calibri" w:hAnsi="Calibri" w:eastAsia="微软雅黑"/>
          <w:b w:val="0"/>
          <w:i w:val="0"/>
          <w:sz w:val="21"/>
        </w:rPr>
        <w:t>：可先从“碳市场配额总量固定”这一基本出发，将碳预算约束作为惩罚项嵌入LSTM或Transformer模型的损失函数中，测试其对预测稳定性的提升。</w:t>
      </w:r>
    </w:p>
    <w:p>
      <w:pPr>
        <w:pStyle w:val="Heading3"/>
      </w:pPr>
      <w:r>
        <w:rPr>
          <w:rFonts w:ascii="Calibri" w:hAnsi="Calibri" w:eastAsia="微软雅黑"/>
          <w:b/>
          <w:i w:val="0"/>
          <w:color w:val="1A1A2E"/>
          <w:sz w:val="20"/>
        </w:rPr>
        <w:t>空白5：跨学科融合（ML+气候科学+电网工程+经济学）缺乏系统性综述和实践</w:t>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：引用网络部“影响力追踪派”和主题聚类组“9维度归类派”的分析一致表明，检索论文中（1）几乎没有一篇在同一个研究中同时涉及ML、气候科学、电网工程和经济学四个领域；（2）综述类论文（如</w:t>
      </w:r>
      <w:r>
        <w:rPr>
          <w:rFonts w:ascii="Calibri" w:hAnsi="Calibri" w:eastAsia="微软雅黑"/>
          <w:b/>
          <w:i w:val="0"/>
          <w:color w:val="2980B9"/>
          <w:sz w:val="21"/>
        </w:rPr>
        <w:t>[6]</w:t>
      </w:r>
      <w:r>
        <w:rPr>
          <w:rFonts w:ascii="Calibri" w:hAnsi="Calibri" w:eastAsia="微软雅黑"/>
          <w:b w:val="0"/>
          <w:i w:val="0"/>
          <w:sz w:val="21"/>
        </w:rPr>
      </w:r>
      <w:r>
        <w:rPr>
          <w:rFonts w:ascii="Calibri" w:hAnsi="Calibri" w:eastAsia="微软雅黑"/>
          <w:b/>
          <w:i w:val="0"/>
          <w:color w:val="2980B9"/>
          <w:sz w:val="21"/>
        </w:rPr>
        <w:t>[8]</w:t>
      </w:r>
      <w:r>
        <w:rPr>
          <w:rFonts w:ascii="Calibri" w:hAnsi="Calibri" w:eastAsia="微软雅黑"/>
          <w:b w:val="0"/>
          <w:i w:val="0"/>
          <w:sz w:val="21"/>
        </w:rPr>
      </w:r>
      <w:r>
        <w:rPr>
          <w:rFonts w:ascii="Calibri" w:hAnsi="Calibri" w:eastAsia="微软雅黑"/>
          <w:b/>
          <w:i w:val="0"/>
          <w:color w:val="2980B9"/>
          <w:sz w:val="21"/>
        </w:rPr>
        <w:t>[37]</w:t>
      </w:r>
      <w:r>
        <w:rPr>
          <w:rFonts w:ascii="Calibri" w:hAnsi="Calibri" w:eastAsia="微软雅黑"/>
          <w:b w:val="0"/>
          <w:i w:val="0"/>
          <w:sz w:val="21"/>
        </w:rPr>
        <w:t>）覆盖了其中两到三个领域，但未做到系统性整合；（3）大量材料科学、生物地球化学论文（如</w:t>
      </w:r>
      <w:r>
        <w:rPr>
          <w:rFonts w:ascii="Calibri" w:hAnsi="Calibri" w:eastAsia="微软雅黑"/>
          <w:b/>
          <w:i w:val="0"/>
          <w:color w:val="2980B9"/>
          <w:sz w:val="21"/>
        </w:rPr>
        <w:t>[13]</w:t>
      </w:r>
      <w:r>
        <w:rPr>
          <w:rFonts w:ascii="Calibri" w:hAnsi="Calibri" w:eastAsia="微软雅黑"/>
          <w:b w:val="0"/>
          <w:i w:val="0"/>
          <w:sz w:val="21"/>
        </w:rPr>
      </w:r>
      <w:r>
        <w:rPr>
          <w:rFonts w:ascii="Calibri" w:hAnsi="Calibri" w:eastAsia="微软雅黑"/>
          <w:b/>
          <w:i w:val="0"/>
          <w:color w:val="2980B9"/>
          <w:sz w:val="21"/>
        </w:rPr>
        <w:t>[17]</w:t>
      </w:r>
      <w:r>
        <w:rPr>
          <w:rFonts w:ascii="Calibri" w:hAnsi="Calibri" w:eastAsia="微软雅黑"/>
          <w:b w:val="0"/>
          <w:i w:val="0"/>
          <w:sz w:val="21"/>
        </w:rPr>
      </w:r>
      <w:r>
        <w:rPr>
          <w:rFonts w:ascii="Calibri" w:hAnsi="Calibri" w:eastAsia="微软雅黑"/>
          <w:b/>
          <w:i w:val="0"/>
          <w:color w:val="2980B9"/>
          <w:sz w:val="21"/>
        </w:rPr>
        <w:t>[20]</w:t>
      </w:r>
      <w:r>
        <w:rPr>
          <w:rFonts w:ascii="Calibri" w:hAnsi="Calibri" w:eastAsia="微软雅黑"/>
          <w:b w:val="0"/>
          <w:i w:val="0"/>
          <w:sz w:val="21"/>
        </w:rPr>
      </w:r>
      <w:r>
        <w:rPr>
          <w:rFonts w:ascii="Calibri" w:hAnsi="Calibri" w:eastAsia="微软雅黑"/>
          <w:b/>
          <w:i w:val="0"/>
          <w:color w:val="2980B9"/>
          <w:sz w:val="21"/>
        </w:rPr>
        <w:t>[21]</w:t>
      </w:r>
      <w:r>
        <w:rPr>
          <w:rFonts w:ascii="Calibri" w:hAnsi="Calibri" w:eastAsia="微软雅黑"/>
          <w:b w:val="0"/>
          <w:i w:val="0"/>
          <w:sz w:val="21"/>
        </w:rPr>
        <w:t>）虽属于能源相关话题，但与ML驱动的能源经济学预测任务关联度弱。</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1）跨学科研究面临显著的知识壁垒，单一研究者或研究团队难以同时掌握ML模型开发、气候系统建模、电网运行原理和能源经济学理论。（2）跨学科期刊生态尚不成熟，投稿审稿周期长，存在“通不过各学科审稿专家”的风险。</w:t>
      </w:r>
    </w:p>
    <w:p>
      <w:r>
        <w:rPr>
          <w:rFonts w:ascii="Calibri" w:hAnsi="Calibri" w:eastAsia="微软雅黑"/>
          <w:b w:val="0"/>
          <w:i w:val="0"/>
          <w:sz w:val="21"/>
        </w:rPr>
      </w:r>
      <w:r>
        <w:rPr>
          <w:rFonts w:ascii="Calibri" w:hAnsi="Calibri" w:eastAsia="微软雅黑"/>
          <w:b/>
          <w:i w:val="0"/>
          <w:sz w:val="21"/>
        </w:rPr>
        <w:t>价值</w:t>
      </w:r>
      <w:r>
        <w:rPr>
          <w:rFonts w:ascii="Calibri" w:hAnsi="Calibri" w:eastAsia="微软雅黑"/>
          <w:b w:val="0"/>
          <w:i w:val="0"/>
          <w:sz w:val="21"/>
        </w:rPr>
        <w:t>：极端气候事件（如热浪、寒潮）对电价和碳价的系统性冲击日益频繁。建立融合气象模式、电网约束和市场机制的跨学科混合模型，可从根本上提升对能源价格极端波动的预测和风险管理能力。文献检索部“多源广度派”认为这类研究是“最有作为的方向”。</w:t>
      </w:r>
    </w:p>
    <w:p>
      <w:r>
        <w:rPr>
          <w:rFonts w:ascii="Calibri" w:hAnsi="Calibri" w:eastAsia="微软雅黑"/>
          <w:b w:val="0"/>
          <w:i w:val="0"/>
          <w:sz w:val="21"/>
        </w:rPr>
      </w:r>
      <w:r>
        <w:rPr>
          <w:rFonts w:ascii="Calibri" w:hAnsi="Calibri" w:eastAsia="微软雅黑"/>
          <w:b/>
          <w:i w:val="0"/>
          <w:sz w:val="21"/>
        </w:rPr>
        <w:t>可行路径</w:t>
      </w:r>
      <w:r>
        <w:rPr>
          <w:rFonts w:ascii="Calibri" w:hAnsi="Calibri" w:eastAsia="微软雅黑"/>
          <w:b w:val="0"/>
          <w:i w:val="0"/>
          <w:sz w:val="21"/>
        </w:rPr>
        <w:t>：可先从综述类工作起步，系统梳理各领域在“极端气候事件对能源市场冲击”这一交叉话题上的现有成果。引用网络部建议的主题“深度学习在负排放技术和陆地碳汇动态预测中的应用与挑战”可作为首批跨学科综述的方向。</w:t>
      </w:r>
    </w:p>
    <w:p>
      <w:r>
        <w:rPr>
          <w:rFonts w:ascii="Calibri" w:hAnsi="Calibri" w:eastAsia="微软雅黑"/>
          <w:b w:val="0"/>
          <w:i w:val="0"/>
          <w:sz w:val="21"/>
        </w:rPr>
        <w:t>---</w:t>
      </w:r>
    </w:p>
    <w:p>
      <w:pPr>
        <w:pStyle w:val="Heading2"/>
      </w:pPr>
      <w:r>
        <w:rPr>
          <w:rFonts w:ascii="Calibri" w:hAnsi="Calibri" w:eastAsia="微软雅黑"/>
          <w:b/>
          <w:i w:val="0"/>
          <w:color w:val="1A1A2E"/>
          <w:sz w:val="24"/>
        </w:rPr>
        <w:t>五、参考文献</w:t>
      </w:r>
    </w:p>
    <w:p>
      <w:pPr>
        <w:pStyle w:val="Heading3"/>
      </w:pPr>
      <w:r>
        <w:rPr>
          <w:rFonts w:ascii="Calibri" w:hAnsi="Calibri" w:eastAsia="微软雅黑"/>
          <w:b/>
          <w:i w:val="0"/>
          <w:color w:val="1A1A2E"/>
          <w:sz w:val="20"/>
        </w:rPr>
        <w:t>S级论文</w:t>
      </w:r>
    </w:p>
    <w:p>
      <w:r>
        <w:rPr>
          <w:rFonts w:ascii="Calibri" w:hAnsi="Calibri" w:eastAsia="微软雅黑"/>
          <w:b w:val="0"/>
          <w:i w:val="0"/>
          <w:sz w:val="21"/>
        </w:rPr>
      </w:r>
      <w:r>
        <w:rPr>
          <w:rFonts w:ascii="Calibri" w:hAnsi="Calibri" w:eastAsia="微软雅黑"/>
          <w:b/>
          <w:i w:val="0"/>
          <w:color w:val="2980B9"/>
          <w:sz w:val="21"/>
        </w:rPr>
        <w:t>[1]</w:t>
      </w:r>
      <w:r>
        <w:rPr>
          <w:rFonts w:ascii="Calibri" w:hAnsi="Calibri" w:eastAsia="微软雅黑"/>
          <w:b w:val="0"/>
          <w:i w:val="0"/>
          <w:sz w:val="21"/>
        </w:rPr>
        <w:t xml:space="preserve"> I. Staffell, D. Scamann, et al. The role of hydrogen and fuel cells in the global energy system[J]. Energy &amp; Environmental Science, 2018, 引用:3905.</w:t>
      </w:r>
    </w:p>
    <w:p>
      <w:r>
        <w:rPr>
          <w:rFonts w:ascii="Calibri" w:hAnsi="Calibri" w:eastAsia="微软雅黑"/>
          <w:b w:val="0"/>
          <w:i w:val="0"/>
          <w:sz w:val="21"/>
        </w:rPr>
      </w:r>
      <w:r>
        <w:rPr>
          <w:rFonts w:ascii="Calibri" w:hAnsi="Calibri" w:eastAsia="微软雅黑"/>
          <w:b/>
          <w:i w:val="0"/>
          <w:color w:val="2980B9"/>
          <w:sz w:val="21"/>
        </w:rPr>
        <w:t>[2]</w:t>
      </w:r>
      <w:r>
        <w:rPr>
          <w:rFonts w:ascii="Calibri" w:hAnsi="Calibri" w:eastAsia="微软雅黑"/>
          <w:b w:val="0"/>
          <w:i w:val="0"/>
          <w:sz w:val="21"/>
        </w:rPr>
        <w:t xml:space="preserve"> M. Andoni, V. Robu, et al. Blockchain technology in the energy sector: A systematic review of challenges and opportunities[J]. Renewable and Sustainable Energy Reviews, 2018, 引用:2365.</w:t>
      </w:r>
    </w:p>
    <w:p>
      <w:r>
        <w:rPr>
          <w:rFonts w:ascii="Calibri" w:hAnsi="Calibri" w:eastAsia="微软雅黑"/>
          <w:b w:val="0"/>
          <w:i w:val="0"/>
          <w:sz w:val="21"/>
        </w:rPr>
      </w:r>
      <w:r>
        <w:rPr>
          <w:rFonts w:ascii="Calibri" w:hAnsi="Calibri" w:eastAsia="微软雅黑"/>
          <w:b/>
          <w:i w:val="0"/>
          <w:color w:val="2980B9"/>
          <w:sz w:val="21"/>
        </w:rPr>
        <w:t>[3]</w:t>
      </w:r>
      <w:r>
        <w:rPr>
          <w:rFonts w:ascii="Calibri" w:hAnsi="Calibri" w:eastAsia="微软雅黑"/>
          <w:b w:val="0"/>
          <w:i w:val="0"/>
          <w:sz w:val="21"/>
        </w:rPr>
        <w:t xml:space="preserve"> N. Armaroli, V. Balzani. The Future of Energy Supply: Challenges and Opportunities[J]. Angewandte Chemie International Edition, 2006, 引用:1909.</w:t>
      </w:r>
    </w:p>
    <w:p>
      <w:r>
        <w:rPr>
          <w:rFonts w:ascii="Calibri" w:hAnsi="Calibri" w:eastAsia="微软雅黑"/>
          <w:b w:val="0"/>
          <w:i w:val="0"/>
          <w:sz w:val="21"/>
        </w:rPr>
      </w:r>
      <w:r>
        <w:rPr>
          <w:rFonts w:ascii="Calibri" w:hAnsi="Calibri" w:eastAsia="微软雅黑"/>
          <w:b/>
          <w:i w:val="0"/>
          <w:color w:val="2980B9"/>
          <w:sz w:val="21"/>
        </w:rPr>
        <w:t>[4]</w:t>
      </w:r>
      <w:r>
        <w:rPr>
          <w:rFonts w:ascii="Calibri" w:hAnsi="Calibri" w:eastAsia="微软雅黑"/>
          <w:b w:val="0"/>
          <w:i w:val="0"/>
          <w:sz w:val="21"/>
        </w:rPr>
        <w:t xml:space="preserve"> P. Veers, K. Dykes, et al. Grand challenges in the science of wind energy[J]. Science, 2019, 引用:1224.</w:t>
      </w:r>
    </w:p>
    <w:p>
      <w:r>
        <w:rPr>
          <w:rFonts w:ascii="Calibri" w:hAnsi="Calibri" w:eastAsia="微软雅黑"/>
          <w:b w:val="0"/>
          <w:i w:val="0"/>
          <w:sz w:val="21"/>
        </w:rPr>
      </w:r>
      <w:r>
        <w:rPr>
          <w:rFonts w:ascii="Calibri" w:hAnsi="Calibri" w:eastAsia="微软雅黑"/>
          <w:b/>
          <w:i w:val="0"/>
          <w:color w:val="2980B9"/>
          <w:sz w:val="21"/>
        </w:rPr>
        <w:t>[5]</w:t>
      </w:r>
      <w:r>
        <w:rPr>
          <w:rFonts w:ascii="Calibri" w:hAnsi="Calibri" w:eastAsia="微软雅黑"/>
          <w:b w:val="0"/>
          <w:i w:val="0"/>
          <w:sz w:val="21"/>
        </w:rPr>
        <w:t xml:space="preserve"> I. Antonopoulos, V. Robu, et al. Artificial intelligence and machine learning approaches to energy demand-side response: A systematic review[J]. Renewable and Sustainable Energy Reviews, 2020, 引用:618.</w:t>
      </w:r>
    </w:p>
    <w:p>
      <w:r>
        <w:rPr>
          <w:rFonts w:ascii="Calibri" w:hAnsi="Calibri" w:eastAsia="微软雅黑"/>
          <w:b w:val="0"/>
          <w:i w:val="0"/>
          <w:sz w:val="21"/>
        </w:rPr>
      </w:r>
      <w:r>
        <w:rPr>
          <w:rFonts w:ascii="Calibri" w:hAnsi="Calibri" w:eastAsia="微软雅黑"/>
          <w:b/>
          <w:i w:val="0"/>
          <w:color w:val="2980B9"/>
          <w:sz w:val="21"/>
        </w:rPr>
        <w:t>[6]</w:t>
      </w:r>
      <w:r>
        <w:rPr>
          <w:rFonts w:ascii="Calibri" w:hAnsi="Calibri" w:eastAsia="微软雅黑"/>
          <w:b w:val="0"/>
          <w:i w:val="0"/>
          <w:sz w:val="21"/>
        </w:rPr>
        <w:t xml:space="preserve"> Z. Yao, Y. Lum, et al. Machine learning for a sustainable energy future[J]. Nature Reviews Materials, 2022, 引用:474.</w:t>
      </w:r>
    </w:p>
    <w:p>
      <w:r>
        <w:rPr>
          <w:rFonts w:ascii="Calibri" w:hAnsi="Calibri" w:eastAsia="微软雅黑"/>
          <w:b w:val="0"/>
          <w:i w:val="0"/>
          <w:sz w:val="21"/>
        </w:rPr>
      </w:r>
      <w:r>
        <w:rPr>
          <w:rFonts w:ascii="Calibri" w:hAnsi="Calibri" w:eastAsia="微软雅黑"/>
          <w:b/>
          <w:i w:val="0"/>
          <w:color w:val="2980B9"/>
          <w:sz w:val="21"/>
        </w:rPr>
        <w:t>[7]</w:t>
      </w:r>
      <w:r>
        <w:rPr>
          <w:rFonts w:ascii="Calibri" w:hAnsi="Calibri" w:eastAsia="微软雅黑"/>
          <w:b w:val="0"/>
          <w:i w:val="0"/>
          <w:sz w:val="21"/>
        </w:rPr>
        <w:t xml:space="preserve"> H. Ghoddusi, G. G. Creamer, et al. Machine learning in energy economics and finance: A review[J]. Energy Economics, 2019, 引用:431.</w:t>
      </w:r>
    </w:p>
    <w:p>
      <w:r>
        <w:rPr>
          <w:rFonts w:ascii="Calibri" w:hAnsi="Calibri" w:eastAsia="微软雅黑"/>
          <w:b w:val="0"/>
          <w:i w:val="0"/>
          <w:sz w:val="21"/>
        </w:rPr>
      </w:r>
      <w:r>
        <w:rPr>
          <w:rFonts w:ascii="Calibri" w:hAnsi="Calibri" w:eastAsia="微软雅黑"/>
          <w:b/>
          <w:i w:val="0"/>
          <w:color w:val="2980B9"/>
          <w:sz w:val="21"/>
        </w:rPr>
        <w:t>[8]</w:t>
      </w:r>
      <w:r>
        <w:rPr>
          <w:rFonts w:ascii="Calibri" w:hAnsi="Calibri" w:eastAsia="微软雅黑"/>
          <w:b w:val="0"/>
          <w:i w:val="0"/>
          <w:sz w:val="21"/>
        </w:rPr>
        <w:t xml:space="preserve"> P. Friedlingstein, M. O‘Sullivan, et al. Global Carbon Budget 2023[J]. Earth System Science Data, 2023, 引用:1389.</w:t>
      </w:r>
    </w:p>
    <w:p>
      <w:r>
        <w:rPr>
          <w:rFonts w:ascii="Calibri" w:hAnsi="Calibri" w:eastAsia="微软雅黑"/>
          <w:b w:val="0"/>
          <w:i w:val="0"/>
          <w:sz w:val="21"/>
        </w:rPr>
      </w:r>
      <w:r>
        <w:rPr>
          <w:rFonts w:ascii="Calibri" w:hAnsi="Calibri" w:eastAsia="微软雅黑"/>
          <w:b/>
          <w:i w:val="0"/>
          <w:color w:val="2980B9"/>
          <w:sz w:val="21"/>
        </w:rPr>
        <w:t>[9]</w:t>
      </w:r>
      <w:r>
        <w:rPr>
          <w:rFonts w:ascii="Calibri" w:hAnsi="Calibri" w:eastAsia="微软雅黑"/>
          <w:b w:val="0"/>
          <w:i w:val="0"/>
          <w:sz w:val="21"/>
        </w:rPr>
        <w:t xml:space="preserve"> D. Frank, M. Reichstein, et al. Effects of climate extremes on the terrestrial carbon cycle: concepts, processes and potential future impacts[J]. Global Change Biology, 2015, 引用:1022.</w:t>
      </w:r>
    </w:p>
    <w:p>
      <w:r>
        <w:rPr>
          <w:rFonts w:ascii="Calibri" w:hAnsi="Calibri" w:eastAsia="微软雅黑"/>
          <w:b w:val="0"/>
          <w:i w:val="0"/>
          <w:sz w:val="21"/>
        </w:rPr>
      </w:r>
      <w:r>
        <w:rPr>
          <w:rFonts w:ascii="Calibri" w:hAnsi="Calibri" w:eastAsia="微软雅黑"/>
          <w:b/>
          <w:i w:val="0"/>
          <w:color w:val="2980B9"/>
          <w:sz w:val="21"/>
        </w:rPr>
        <w:t>[10]</w:t>
      </w:r>
      <w:r>
        <w:rPr>
          <w:rFonts w:ascii="Calibri" w:hAnsi="Calibri" w:eastAsia="微软雅黑"/>
          <w:b w:val="0"/>
          <w:i w:val="0"/>
          <w:sz w:val="21"/>
        </w:rPr>
        <w:t xml:space="preserve"> P. W. Boyd, H. Claustre, et al. Multi-faceted particle pumps drive carbon sequestration in the ocean[J]. Nature, 2019, 引用:891.</w:t>
      </w:r>
    </w:p>
    <w:p>
      <w:r>
        <w:rPr>
          <w:rFonts w:ascii="Calibri" w:hAnsi="Calibri" w:eastAsia="微软雅黑"/>
          <w:b w:val="0"/>
          <w:i w:val="0"/>
          <w:sz w:val="21"/>
        </w:rPr>
      </w:r>
      <w:r>
        <w:rPr>
          <w:rFonts w:ascii="Calibri" w:hAnsi="Calibri" w:eastAsia="微软雅黑"/>
          <w:b/>
          <w:i w:val="0"/>
          <w:color w:val="2980B9"/>
          <w:sz w:val="21"/>
        </w:rPr>
        <w:t>[11]</w:t>
      </w:r>
      <w:r>
        <w:rPr>
          <w:rFonts w:ascii="Calibri" w:hAnsi="Calibri" w:eastAsia="微软雅黑"/>
          <w:b w:val="0"/>
          <w:i w:val="0"/>
          <w:sz w:val="21"/>
        </w:rPr>
        <w:t xml:space="preserve"> S. Aslam, H. Herodotou, et al. A survey on deep learning methods for power load and renewable energy forecasting[J]. Renewable and Sustainable Energy Reviews, 2021, 引用:620.</w:t>
      </w:r>
    </w:p>
    <w:p>
      <w:r>
        <w:rPr>
          <w:rFonts w:ascii="Calibri" w:hAnsi="Calibri" w:eastAsia="微软雅黑"/>
          <w:b w:val="0"/>
          <w:i w:val="0"/>
          <w:sz w:val="21"/>
        </w:rPr>
      </w:r>
      <w:r>
        <w:rPr>
          <w:rFonts w:ascii="Calibri" w:hAnsi="Calibri" w:eastAsia="微软雅黑"/>
          <w:b/>
          <w:i w:val="0"/>
          <w:color w:val="2980B9"/>
          <w:sz w:val="21"/>
        </w:rPr>
        <w:t>[12]</w:t>
      </w:r>
      <w:r>
        <w:rPr>
          <w:rFonts w:ascii="Calibri" w:hAnsi="Calibri" w:eastAsia="微软雅黑"/>
          <w:b w:val="0"/>
          <w:i w:val="0"/>
          <w:sz w:val="21"/>
        </w:rPr>
        <w:t xml:space="preserve"> N. Somu, M. R. G. Raman, et al. A deep learning framework for building energy consumption forecast[J]. Renewable and Sustainable Energy Reviews, 2020, 引用:479.</w:t>
      </w:r>
    </w:p>
    <w:p>
      <w:r>
        <w:rPr>
          <w:rFonts w:ascii="Calibri" w:hAnsi="Calibri" w:eastAsia="微软雅黑"/>
          <w:b w:val="0"/>
          <w:i w:val="0"/>
          <w:sz w:val="21"/>
        </w:rPr>
      </w:r>
      <w:r>
        <w:rPr>
          <w:rFonts w:ascii="Calibri" w:hAnsi="Calibri" w:eastAsia="微软雅黑"/>
          <w:b/>
          <w:i w:val="0"/>
          <w:color w:val="2980B9"/>
          <w:sz w:val="21"/>
        </w:rPr>
        <w:t>[13]</w:t>
      </w:r>
      <w:r>
        <w:rPr>
          <w:rFonts w:ascii="Calibri" w:hAnsi="Calibri" w:eastAsia="微软雅黑"/>
          <w:b w:val="0"/>
          <w:i w:val="0"/>
          <w:sz w:val="21"/>
        </w:rPr>
        <w:t xml:space="preserve"> Z. Wang, T. Hong, et al. Building thermal load prediction through shallow machine learning and deep learning[J]. Applied Energy, 2020, 引用:478.</w:t>
      </w:r>
    </w:p>
    <w:p>
      <w:r>
        <w:rPr>
          <w:rFonts w:ascii="Calibri" w:hAnsi="Calibri" w:eastAsia="微软雅黑"/>
          <w:b w:val="0"/>
          <w:i w:val="0"/>
          <w:sz w:val="21"/>
        </w:rPr>
      </w:r>
      <w:r>
        <w:rPr>
          <w:rFonts w:ascii="Calibri" w:hAnsi="Calibri" w:eastAsia="微软雅黑"/>
          <w:b/>
          <w:i w:val="0"/>
          <w:color w:val="2980B9"/>
          <w:sz w:val="21"/>
        </w:rPr>
        <w:t>[14]</w:t>
      </w:r>
      <w:r>
        <w:rPr>
          <w:rFonts w:ascii="Calibri" w:hAnsi="Calibri" w:eastAsia="微软雅黑"/>
          <w:b w:val="0"/>
          <w:i w:val="0"/>
          <w:sz w:val="21"/>
        </w:rPr>
        <w:t xml:space="preserve"> J. Bedi, D. Toshniwal. Deep learning framework to forecast electricity demand[J]. Applied Energy, 2019, 引用:469.</w:t>
      </w:r>
    </w:p>
    <w:p>
      <w:r>
        <w:rPr>
          <w:rFonts w:ascii="Calibri" w:hAnsi="Calibri" w:eastAsia="微软雅黑"/>
          <w:b w:val="0"/>
          <w:i w:val="0"/>
          <w:sz w:val="21"/>
        </w:rPr>
      </w:r>
      <w:r>
        <w:rPr>
          <w:rFonts w:ascii="Calibri" w:hAnsi="Calibri" w:eastAsia="微软雅黑"/>
          <w:b/>
          <w:i w:val="0"/>
          <w:color w:val="2980B9"/>
          <w:sz w:val="21"/>
        </w:rPr>
        <w:t>[15]</w:t>
      </w:r>
      <w:r>
        <w:rPr>
          <w:rFonts w:ascii="Calibri" w:hAnsi="Calibri" w:eastAsia="微软雅黑"/>
          <w:b w:val="0"/>
          <w:i w:val="0"/>
          <w:sz w:val="21"/>
        </w:rPr>
        <w:t xml:space="preserve"> Ü. Ağbulut. Forecasting of transportation-related energy demand and CO2 emissions in Turkey using machine learning algorithms[J]. Sustainable Production and Consumption, 2021, 引用:273.</w:t>
      </w:r>
    </w:p>
    <w:p>
      <w:r>
        <w:rPr>
          <w:rFonts w:ascii="Calibri" w:hAnsi="Calibri" w:eastAsia="微软雅黑"/>
          <w:b w:val="0"/>
          <w:i w:val="0"/>
          <w:sz w:val="21"/>
        </w:rPr>
      </w:r>
      <w:r>
        <w:rPr>
          <w:rFonts w:ascii="Calibri" w:hAnsi="Calibri" w:eastAsia="微软雅黑"/>
          <w:b/>
          <w:i w:val="0"/>
          <w:color w:val="2980B9"/>
          <w:sz w:val="21"/>
        </w:rPr>
        <w:t>[16]</w:t>
      </w:r>
      <w:r>
        <w:rPr>
          <w:rFonts w:ascii="Calibri" w:hAnsi="Calibri" w:eastAsia="微软雅黑"/>
          <w:b w:val="0"/>
          <w:i w:val="0"/>
          <w:sz w:val="21"/>
        </w:rPr>
        <w:t xml:space="preserve"> K. J. Nam, S. Hwangbo, et al. A deep learning-based forecasting model for renewable energy scenarios to guide sustainable energy policy: A case study of Korea[J]. Renewable and Sustainable Energy Reviews, 2020, 引用:264.</w:t>
      </w:r>
    </w:p>
    <w:p>
      <w:pPr>
        <w:pStyle w:val="Heading3"/>
      </w:pPr>
      <w:r>
        <w:rPr>
          <w:rFonts w:ascii="Calibri" w:hAnsi="Calibri" w:eastAsia="微软雅黑"/>
          <w:b/>
          <w:i w:val="0"/>
          <w:color w:val="1A1A2E"/>
          <w:sz w:val="20"/>
        </w:rPr>
        <w:t>A级论文</w:t>
      </w:r>
    </w:p>
    <w:p>
      <w:r>
        <w:rPr>
          <w:rFonts w:ascii="Calibri" w:hAnsi="Calibri" w:eastAsia="微软雅黑"/>
          <w:b w:val="0"/>
          <w:i w:val="0"/>
          <w:sz w:val="21"/>
        </w:rPr>
      </w:r>
      <w:r>
        <w:rPr>
          <w:rFonts w:ascii="Calibri" w:hAnsi="Calibri" w:eastAsia="微软雅黑"/>
          <w:b/>
          <w:i w:val="0"/>
          <w:color w:val="2980B9"/>
          <w:sz w:val="21"/>
        </w:rPr>
        <w:t>[17]</w:t>
      </w:r>
      <w:r>
        <w:rPr>
          <w:rFonts w:ascii="Calibri" w:hAnsi="Calibri" w:eastAsia="微软雅黑"/>
          <w:b w:val="0"/>
          <w:i w:val="0"/>
          <w:sz w:val="21"/>
        </w:rPr>
        <w:t xml:space="preserve"> H. Shi, M. Xu, et al. Deep Learning for Household Load Forecasting—A Novel Pooling Deep RNN[J]. IEEE Transactions on Smart Grid, 2017, 引用:1093.</w:t>
      </w:r>
    </w:p>
    <w:p>
      <w:r>
        <w:rPr>
          <w:rFonts w:ascii="Calibri" w:hAnsi="Calibri" w:eastAsia="微软雅黑"/>
          <w:b w:val="0"/>
          <w:i w:val="0"/>
          <w:sz w:val="21"/>
        </w:rPr>
      </w:r>
      <w:r>
        <w:rPr>
          <w:rFonts w:ascii="Calibri" w:hAnsi="Calibri" w:eastAsia="微软雅黑"/>
          <w:b/>
          <w:i w:val="0"/>
          <w:color w:val="2980B9"/>
          <w:sz w:val="21"/>
        </w:rPr>
        <w:t>[18]</w:t>
      </w:r>
      <w:r>
        <w:rPr>
          <w:rFonts w:ascii="Calibri" w:hAnsi="Calibri" w:eastAsia="微软雅黑"/>
          <w:b w:val="0"/>
          <w:i w:val="0"/>
          <w:sz w:val="21"/>
        </w:rPr>
        <w:t xml:space="preserve"> X. Qiu, Y. Ren, et al. Empirical Mode Decomposition based ensemble deep learning for load demand forecasting[J]. Applied Soft Computing, 2017, 引用:452.</w:t>
      </w:r>
    </w:p>
    <w:p>
      <w:r>
        <w:rPr>
          <w:rFonts w:ascii="Calibri" w:hAnsi="Calibri" w:eastAsia="微软雅黑"/>
          <w:b w:val="0"/>
          <w:i w:val="0"/>
          <w:sz w:val="21"/>
        </w:rPr>
      </w:r>
      <w:r>
        <w:rPr>
          <w:rFonts w:ascii="Calibri" w:hAnsi="Calibri" w:eastAsia="微软雅黑"/>
          <w:b/>
          <w:i w:val="0"/>
          <w:color w:val="2980B9"/>
          <w:sz w:val="21"/>
        </w:rPr>
        <w:t>[19]</w:t>
      </w:r>
      <w:r>
        <w:rPr>
          <w:rFonts w:ascii="Calibri" w:hAnsi="Calibri" w:eastAsia="微软雅黑"/>
          <w:b w:val="0"/>
          <w:i w:val="0"/>
          <w:sz w:val="21"/>
        </w:rPr>
        <w:t xml:space="preserve"> P. Kumari, D. Toshniwal. Deep learning models for solar irradiance forecasting: A comprehensive review[J]. Journal of Cleaner Production, 2021, 引用:420.</w:t>
      </w:r>
    </w:p>
    <w:p>
      <w:r>
        <w:rPr>
          <w:rFonts w:ascii="Calibri" w:hAnsi="Calibri" w:eastAsia="微软雅黑"/>
          <w:b w:val="0"/>
          <w:i w:val="0"/>
          <w:sz w:val="21"/>
        </w:rPr>
      </w:r>
      <w:r>
        <w:rPr>
          <w:rFonts w:ascii="Calibri" w:hAnsi="Calibri" w:eastAsia="微软雅黑"/>
          <w:b/>
          <w:i w:val="0"/>
          <w:color w:val="2980B9"/>
          <w:sz w:val="21"/>
        </w:rPr>
        <w:t>[20]</w:t>
      </w:r>
      <w:r>
        <w:rPr>
          <w:rFonts w:ascii="Calibri" w:hAnsi="Calibri" w:eastAsia="微软雅黑"/>
          <w:b w:val="0"/>
          <w:i w:val="0"/>
          <w:sz w:val="21"/>
        </w:rPr>
        <w:t xml:space="preserve"> L. Wen, K. Zhou, et al. Optimal load dispatch of community microgrid with deep learning based solar power and load forecasting[J]. Energy, 2019, 引用:388.</w:t>
      </w:r>
    </w:p>
    <w:p>
      <w:r>
        <w:rPr>
          <w:rFonts w:ascii="Calibri" w:hAnsi="Calibri" w:eastAsia="微软雅黑"/>
          <w:b w:val="0"/>
          <w:i w:val="0"/>
          <w:sz w:val="21"/>
        </w:rPr>
      </w:r>
      <w:r>
        <w:rPr>
          <w:rFonts w:ascii="Calibri" w:hAnsi="Calibri" w:eastAsia="微软雅黑"/>
          <w:b/>
          <w:i w:val="0"/>
          <w:color w:val="2980B9"/>
          <w:sz w:val="21"/>
        </w:rPr>
        <w:t>[21]</w:t>
      </w:r>
      <w:r>
        <w:rPr>
          <w:rFonts w:ascii="Calibri" w:hAnsi="Calibri" w:eastAsia="微软雅黑"/>
          <w:b w:val="0"/>
          <w:i w:val="0"/>
          <w:sz w:val="21"/>
        </w:rPr>
        <w:t xml:space="preserve"> M. Khalil, A. S. McGough, et al. Machine Learning, Deep Learning and Statistical Analysis for forecasting building energy consumption[J]. Engineering Applications of Artificial Intelligence, 2022, 引用:290.</w:t>
      </w:r>
    </w:p>
    <w:p>
      <w:r>
        <w:rPr>
          <w:rFonts w:ascii="Calibri" w:hAnsi="Calibri" w:eastAsia="微软雅黑"/>
          <w:b w:val="0"/>
          <w:i w:val="0"/>
          <w:sz w:val="21"/>
        </w:rPr>
      </w:r>
      <w:r>
        <w:rPr>
          <w:rFonts w:ascii="Calibri" w:hAnsi="Calibri" w:eastAsia="微软雅黑"/>
          <w:b/>
          <w:i w:val="0"/>
          <w:color w:val="2980B9"/>
          <w:sz w:val="21"/>
        </w:rPr>
        <w:t>[22]</w:t>
      </w:r>
      <w:r>
        <w:rPr>
          <w:rFonts w:ascii="Calibri" w:hAnsi="Calibri" w:eastAsia="微软雅黑"/>
          <w:b w:val="0"/>
          <w:i w:val="0"/>
          <w:sz w:val="21"/>
        </w:rPr>
        <w:t xml:space="preserve"> O. Nadirgil. Carbon price prediction using multiple hybrid machine learning models optimized by genetic algorithm[J]. Journal of Environmental Management, 2023, 引用:89.</w:t>
      </w:r>
    </w:p>
    <w:p>
      <w:r>
        <w:rPr>
          <w:rFonts w:ascii="Calibri" w:hAnsi="Calibri" w:eastAsia="微软雅黑"/>
          <w:b w:val="0"/>
          <w:i w:val="0"/>
          <w:sz w:val="21"/>
        </w:rPr>
      </w:r>
      <w:r>
        <w:rPr>
          <w:rFonts w:ascii="Calibri" w:hAnsi="Calibri" w:eastAsia="微软雅黑"/>
          <w:b/>
          <w:i w:val="0"/>
          <w:color w:val="2980B9"/>
          <w:sz w:val="21"/>
        </w:rPr>
        <w:t>[23]</w:t>
      </w:r>
      <w:r>
        <w:rPr>
          <w:rFonts w:ascii="Calibri" w:hAnsi="Calibri" w:eastAsia="微软雅黑"/>
          <w:b w:val="0"/>
          <w:i w:val="0"/>
          <w:sz w:val="21"/>
        </w:rPr>
        <w:t xml:space="preserve"> R. S. Haszeldine, S. Flude, et al. Negative emissions technologies and carbon capture and storage to achieve the Paris Agreement commitments[J]. Philosophical Transactions of the Royal Society A, 2018, 引用:351.</w:t>
      </w:r>
    </w:p>
    <w:p>
      <w:pPr>
        <w:pStyle w:val="Heading2"/>
      </w:pPr>
      <w:r>
        <w:rPr>
          <w:rFonts w:ascii="Calibri" w:hAnsi="Calibri" w:eastAsia="微软雅黑"/>
          <w:b/>
          <w:i w:val="0"/>
          <w:color w:val="1A1A2E"/>
          <w:sz w:val="24"/>
        </w:rPr>
        <w:t>参考文献</w:t>
      </w:r>
    </w:p>
    <w:p>
      <w:pPr>
        <w:pStyle w:val="Heading3"/>
      </w:pPr>
      <w:r>
        <w:rPr>
          <w:rFonts w:ascii="Calibri" w:hAnsi="Calibri" w:eastAsia="微软雅黑"/>
          <w:b/>
          <w:i w:val="0"/>
          <w:color w:val="1A1A2E"/>
          <w:sz w:val="20"/>
        </w:rPr>
        <w:t>S级（顶刊）</w:t>
      </w:r>
    </w:p>
    <w:p>
      <w:r>
        <w:rPr>
          <w:rFonts w:ascii="Calibri" w:hAnsi="Calibri" w:eastAsia="微软雅黑"/>
          <w:b w:val="0"/>
          <w:i w:val="0"/>
          <w:sz w:val="21"/>
        </w:rPr>
      </w:r>
      <w:r>
        <w:rPr>
          <w:rFonts w:ascii="Calibri" w:hAnsi="Calibri" w:eastAsia="微软雅黑"/>
          <w:b/>
          <w:i w:val="0"/>
          <w:color w:val="2980B9"/>
          <w:sz w:val="21"/>
        </w:rPr>
        <w:t>[1]</w:t>
      </w:r>
      <w:r>
        <w:rPr>
          <w:rFonts w:ascii="Calibri" w:hAnsi="Calibri" w:eastAsia="微软雅黑"/>
          <w:b w:val="0"/>
          <w:i w:val="0"/>
          <w:sz w:val="21"/>
        </w:rPr>
        <w:t xml:space="preserve"> Iain Staffell, Daniel Scamman, Anthony Velazquez Abad, 等. The role of hydrogen and fuel cells in the global energy system. *Energy &amp; Environmental Science*, 2018. doi:10.1039/c8ee01157e.</w:t>
      </w:r>
    </w:p>
    <w:p>
      <w:r>
        <w:rPr>
          <w:rFonts w:ascii="Calibri" w:hAnsi="Calibri" w:eastAsia="微软雅黑"/>
          <w:b w:val="0"/>
          <w:i w:val="0"/>
          <w:sz w:val="21"/>
        </w:rPr>
      </w:r>
      <w:r>
        <w:rPr>
          <w:rFonts w:ascii="Calibri" w:hAnsi="Calibri" w:eastAsia="微软雅黑"/>
          <w:b/>
          <w:i w:val="0"/>
          <w:color w:val="2980B9"/>
          <w:sz w:val="21"/>
        </w:rPr>
        <w:t>[2]</w:t>
      </w:r>
      <w:r>
        <w:rPr>
          <w:rFonts w:ascii="Calibri" w:hAnsi="Calibri" w:eastAsia="微软雅黑"/>
          <w:b w:val="0"/>
          <w:i w:val="0"/>
          <w:sz w:val="21"/>
        </w:rPr>
        <w:t xml:space="preserve"> Merlinda Andoni, Valentin Robu, David Flynn, 等. Blockchain technology in the energy sector: A systematic review of challenges and opportunities. *Renewable and Sustainable Energy Reviews*, 2018. doi:10.1016/j.rser.2018.10.014.</w:t>
      </w:r>
    </w:p>
    <w:p>
      <w:r>
        <w:rPr>
          <w:rFonts w:ascii="Calibri" w:hAnsi="Calibri" w:eastAsia="微软雅黑"/>
          <w:b w:val="0"/>
          <w:i w:val="0"/>
          <w:sz w:val="21"/>
        </w:rPr>
      </w:r>
      <w:r>
        <w:rPr>
          <w:rFonts w:ascii="Calibri" w:hAnsi="Calibri" w:eastAsia="微软雅黑"/>
          <w:b/>
          <w:i w:val="0"/>
          <w:color w:val="2980B9"/>
          <w:sz w:val="21"/>
        </w:rPr>
        <w:t>[3]</w:t>
      </w:r>
      <w:r>
        <w:rPr>
          <w:rFonts w:ascii="Calibri" w:hAnsi="Calibri" w:eastAsia="微软雅黑"/>
          <w:b w:val="0"/>
          <w:i w:val="0"/>
          <w:sz w:val="21"/>
        </w:rPr>
        <w:t xml:space="preserve"> Nicola Armaroli, Vincenzo Balzani. The Future of Energy Supply: Challenges and Opportunities. *Angewandte Chemie International Edition*, 2006. doi:10.1002/anie.200602373.</w:t>
      </w:r>
    </w:p>
    <w:p>
      <w:r>
        <w:rPr>
          <w:rFonts w:ascii="Calibri" w:hAnsi="Calibri" w:eastAsia="微软雅黑"/>
          <w:b w:val="0"/>
          <w:i w:val="0"/>
          <w:sz w:val="21"/>
        </w:rPr>
      </w:r>
      <w:r>
        <w:rPr>
          <w:rFonts w:ascii="Calibri" w:hAnsi="Calibri" w:eastAsia="微软雅黑"/>
          <w:b/>
          <w:i w:val="0"/>
          <w:color w:val="2980B9"/>
          <w:sz w:val="21"/>
        </w:rPr>
        <w:t>[4]</w:t>
      </w:r>
      <w:r>
        <w:rPr>
          <w:rFonts w:ascii="Calibri" w:hAnsi="Calibri" w:eastAsia="微软雅黑"/>
          <w:b w:val="0"/>
          <w:i w:val="0"/>
          <w:sz w:val="21"/>
        </w:rPr>
        <w:t xml:space="preserve"> Marc Rysman. The Economics of Two-Sided Markets. *The Journal of Economic Perspectives*, 2009. doi:10.1257/jep.23.3.125.</w:t>
      </w:r>
    </w:p>
    <w:p>
      <w:r>
        <w:rPr>
          <w:rFonts w:ascii="Calibri" w:hAnsi="Calibri" w:eastAsia="微软雅黑"/>
          <w:b w:val="0"/>
          <w:i w:val="0"/>
          <w:sz w:val="21"/>
        </w:rPr>
      </w:r>
      <w:r>
        <w:rPr>
          <w:rFonts w:ascii="Calibri" w:hAnsi="Calibri" w:eastAsia="微软雅黑"/>
          <w:b/>
          <w:i w:val="0"/>
          <w:color w:val="2980B9"/>
          <w:sz w:val="21"/>
        </w:rPr>
        <w:t>[5]</w:t>
      </w:r>
      <w:r>
        <w:rPr>
          <w:rFonts w:ascii="Calibri" w:hAnsi="Calibri" w:eastAsia="微软雅黑"/>
          <w:b w:val="0"/>
          <w:i w:val="0"/>
          <w:sz w:val="21"/>
        </w:rPr>
        <w:t xml:space="preserve"> Paul Veers, Katherine Dykes, Eric Lantz, 等. Grand challenges in the science of wind energy. *Science*, 2019. doi:10.1126/science.aau2027.</w:t>
      </w:r>
    </w:p>
    <w:p>
      <w:r>
        <w:rPr>
          <w:rFonts w:ascii="Calibri" w:hAnsi="Calibri" w:eastAsia="微软雅黑"/>
          <w:b w:val="0"/>
          <w:i w:val="0"/>
          <w:sz w:val="21"/>
        </w:rPr>
      </w:r>
      <w:r>
        <w:rPr>
          <w:rFonts w:ascii="Calibri" w:hAnsi="Calibri" w:eastAsia="微软雅黑"/>
          <w:b/>
          <w:i w:val="0"/>
          <w:color w:val="2980B9"/>
          <w:sz w:val="21"/>
        </w:rPr>
        <w:t>[6]</w:t>
      </w:r>
      <w:r>
        <w:rPr>
          <w:rFonts w:ascii="Calibri" w:hAnsi="Calibri" w:eastAsia="微软雅黑"/>
          <w:b w:val="0"/>
          <w:i w:val="0"/>
          <w:sz w:val="21"/>
        </w:rPr>
        <w:t xml:space="preserve"> Ioannis Antonopoulos, Valentin Robu, Benoit Couraud, 等. Artificial intelligence and machine learning approaches to energy demand-side response: A systematic review. *Renewable and Sustainable Energy Reviews*, 2020. doi:10.1016/j.rser.2020.109899.</w:t>
      </w:r>
    </w:p>
    <w:p>
      <w:r>
        <w:rPr>
          <w:rFonts w:ascii="Calibri" w:hAnsi="Calibri" w:eastAsia="微软雅黑"/>
          <w:b w:val="0"/>
          <w:i w:val="0"/>
          <w:sz w:val="21"/>
        </w:rPr>
      </w:r>
      <w:r>
        <w:rPr>
          <w:rFonts w:ascii="Calibri" w:hAnsi="Calibri" w:eastAsia="微软雅黑"/>
          <w:b/>
          <w:i w:val="0"/>
          <w:color w:val="2980B9"/>
          <w:sz w:val="21"/>
        </w:rPr>
        <w:t>[7]</w:t>
      </w:r>
      <w:r>
        <w:rPr>
          <w:rFonts w:ascii="Calibri" w:hAnsi="Calibri" w:eastAsia="微软雅黑"/>
          <w:b w:val="0"/>
          <w:i w:val="0"/>
          <w:sz w:val="21"/>
        </w:rPr>
        <w:t xml:space="preserve"> Zhenpeng Yao, Yanwei Lum, Andrew Johnston, 等. Machine learning for a sustainable energy future. *Nature Reviews Materials*, 2022. doi:10.1038/s41578-022-00490-5.</w:t>
      </w:r>
    </w:p>
    <w:p>
      <w:r>
        <w:rPr>
          <w:rFonts w:ascii="Calibri" w:hAnsi="Calibri" w:eastAsia="微软雅黑"/>
          <w:b w:val="0"/>
          <w:i w:val="0"/>
          <w:sz w:val="21"/>
        </w:rPr>
      </w:r>
      <w:r>
        <w:rPr>
          <w:rFonts w:ascii="Calibri" w:hAnsi="Calibri" w:eastAsia="微软雅黑"/>
          <w:b/>
          <w:i w:val="0"/>
          <w:color w:val="2980B9"/>
          <w:sz w:val="21"/>
        </w:rPr>
        <w:t>[8]</w:t>
      </w:r>
      <w:r>
        <w:rPr>
          <w:rFonts w:ascii="Calibri" w:hAnsi="Calibri" w:eastAsia="微软雅黑"/>
          <w:b w:val="0"/>
          <w:i w:val="0"/>
          <w:sz w:val="21"/>
        </w:rPr>
        <w:t xml:space="preserve"> Hamed Ghoddusi, Germán G. Creamer, Nima Rafizadeh. Machine learning in energy economics and finance: A review. *Energy Economics*, 2019. doi:10.1016/j.eneco.2019.05.006.</w:t>
      </w:r>
    </w:p>
    <w:p>
      <w:r>
        <w:rPr>
          <w:rFonts w:ascii="Calibri" w:hAnsi="Calibri" w:eastAsia="微软雅黑"/>
          <w:b w:val="0"/>
          <w:i w:val="0"/>
          <w:sz w:val="21"/>
        </w:rPr>
      </w:r>
      <w:r>
        <w:rPr>
          <w:rFonts w:ascii="Calibri" w:hAnsi="Calibri" w:eastAsia="微软雅黑"/>
          <w:b/>
          <w:i w:val="0"/>
          <w:color w:val="2980B9"/>
          <w:sz w:val="21"/>
        </w:rPr>
        <w:t>[11]</w:t>
      </w:r>
      <w:r>
        <w:rPr>
          <w:rFonts w:ascii="Calibri" w:hAnsi="Calibri" w:eastAsia="微软雅黑"/>
          <w:b w:val="0"/>
          <w:i w:val="0"/>
          <w:sz w:val="21"/>
        </w:rPr>
        <w:t xml:space="preserve"> Pierre Friedlingstein, Michael O’Sullivan, Matthew W. Jones, 等. Global Carbon Budget 2023. *Earth system science data*, 2023. doi:10.5194/essd-15-5301-2023.</w:t>
      </w:r>
    </w:p>
    <w:p>
      <w:r>
        <w:rPr>
          <w:rFonts w:ascii="Calibri" w:hAnsi="Calibri" w:eastAsia="微软雅黑"/>
          <w:b w:val="0"/>
          <w:i w:val="0"/>
          <w:sz w:val="21"/>
        </w:rPr>
      </w:r>
      <w:r>
        <w:rPr>
          <w:rFonts w:ascii="Calibri" w:hAnsi="Calibri" w:eastAsia="微软雅黑"/>
          <w:b/>
          <w:i w:val="0"/>
          <w:color w:val="2980B9"/>
          <w:sz w:val="21"/>
        </w:rPr>
        <w:t>[12]</w:t>
      </w:r>
      <w:r>
        <w:rPr>
          <w:rFonts w:ascii="Calibri" w:hAnsi="Calibri" w:eastAsia="微软雅黑"/>
          <w:b w:val="0"/>
          <w:i w:val="0"/>
          <w:sz w:val="21"/>
        </w:rPr>
        <w:t xml:space="preserve"> D. Frank, Markus Reichstein, Michael Bahn, 等. Effects of climate extremes on the terrestrial carbon cycle: concepts, processes and potential future impacts. *Global Change Biology*, 2015. doi:10.1111/gcb.12916.</w:t>
      </w:r>
    </w:p>
    <w:p>
      <w:r>
        <w:rPr>
          <w:rFonts w:ascii="Calibri" w:hAnsi="Calibri" w:eastAsia="微软雅黑"/>
          <w:b w:val="0"/>
          <w:i w:val="0"/>
          <w:sz w:val="21"/>
        </w:rPr>
      </w:r>
      <w:r>
        <w:rPr>
          <w:rFonts w:ascii="Calibri" w:hAnsi="Calibri" w:eastAsia="微软雅黑"/>
          <w:b/>
          <w:i w:val="0"/>
          <w:color w:val="2980B9"/>
          <w:sz w:val="21"/>
        </w:rPr>
        <w:t>[13]</w:t>
      </w:r>
      <w:r>
        <w:rPr>
          <w:rFonts w:ascii="Calibri" w:hAnsi="Calibri" w:eastAsia="微软雅黑"/>
          <w:b w:val="0"/>
          <w:i w:val="0"/>
          <w:sz w:val="21"/>
        </w:rPr>
        <w:t xml:space="preserve"> Jian Liu, Hongqiang Wang, Markus Antonietti. Graphitic carbon nitride “reloaded”: emerging applications beyond (photo)catalysis. *Chemical Society Reviews*, 2016. doi:10.1039/c5cs00767d.</w:t>
      </w:r>
    </w:p>
    <w:p>
      <w:r>
        <w:rPr>
          <w:rFonts w:ascii="Calibri" w:hAnsi="Calibri" w:eastAsia="微软雅黑"/>
          <w:b w:val="0"/>
          <w:i w:val="0"/>
          <w:sz w:val="21"/>
        </w:rPr>
      </w:r>
      <w:r>
        <w:rPr>
          <w:rFonts w:ascii="Calibri" w:hAnsi="Calibri" w:eastAsia="微软雅黑"/>
          <w:b/>
          <w:i w:val="0"/>
          <w:color w:val="2980B9"/>
          <w:sz w:val="21"/>
        </w:rPr>
        <w:t>[14]</w:t>
      </w:r>
      <w:r>
        <w:rPr>
          <w:rFonts w:ascii="Calibri" w:hAnsi="Calibri" w:eastAsia="微软雅黑"/>
          <w:b w:val="0"/>
          <w:i w:val="0"/>
          <w:sz w:val="21"/>
        </w:rPr>
        <w:t xml:space="preserve"> Philip W. Boyd, Hervé Claustre, Marina Lévy, 等. Multi-faceted particle pumps drive carbon sequestration in the ocean. *Nature*, 2019. doi:10.1038/s41586-019-1098-2.</w:t>
      </w:r>
    </w:p>
    <w:p>
      <w:r>
        <w:rPr>
          <w:rFonts w:ascii="Calibri" w:hAnsi="Calibri" w:eastAsia="微软雅黑"/>
          <w:b w:val="0"/>
          <w:i w:val="0"/>
          <w:sz w:val="21"/>
        </w:rPr>
      </w:r>
      <w:r>
        <w:rPr>
          <w:rFonts w:ascii="Calibri" w:hAnsi="Calibri" w:eastAsia="微软雅黑"/>
          <w:b/>
          <w:i w:val="0"/>
          <w:color w:val="2980B9"/>
          <w:sz w:val="21"/>
        </w:rPr>
        <w:t>[15]</w:t>
      </w:r>
      <w:r>
        <w:rPr>
          <w:rFonts w:ascii="Calibri" w:hAnsi="Calibri" w:eastAsia="微软雅黑"/>
          <w:b w:val="0"/>
          <w:i w:val="0"/>
          <w:sz w:val="21"/>
        </w:rPr>
        <w:t xml:space="preserve"> Lucas A. Cernusak, Nerea Ubierna, Klaus Winter, 等. Environmental and physiological determinants of carbon isotope discrimination in terrestrial plants. *New Phytologist*, 2013. doi:10.1111/nph.12423.</w:t>
      </w:r>
    </w:p>
    <w:p>
      <w:r>
        <w:rPr>
          <w:rFonts w:ascii="Calibri" w:hAnsi="Calibri" w:eastAsia="微软雅黑"/>
          <w:b w:val="0"/>
          <w:i w:val="0"/>
          <w:sz w:val="21"/>
        </w:rPr>
      </w:r>
      <w:r>
        <w:rPr>
          <w:rFonts w:ascii="Calibri" w:hAnsi="Calibri" w:eastAsia="微软雅黑"/>
          <w:b/>
          <w:i w:val="0"/>
          <w:color w:val="2980B9"/>
          <w:sz w:val="21"/>
        </w:rPr>
        <w:t>[16]</w:t>
      </w:r>
      <w:r>
        <w:rPr>
          <w:rFonts w:ascii="Calibri" w:hAnsi="Calibri" w:eastAsia="微软雅黑"/>
          <w:b w:val="0"/>
          <w:i w:val="0"/>
          <w:sz w:val="21"/>
        </w:rPr>
        <w:t xml:space="preserve"> Jorge Curiel Yuste, Dennis Baldocchi, Alexander Gershenson, 等. Microbial soil respiration and its dependency on carbon inputs, soil temperature and moisture. *Global Change Biology*, 2007. doi:10.1111/j.1365-2486.2007.01415.x.</w:t>
      </w:r>
    </w:p>
    <w:p>
      <w:r>
        <w:rPr>
          <w:rFonts w:ascii="Calibri" w:hAnsi="Calibri" w:eastAsia="微软雅黑"/>
          <w:b w:val="0"/>
          <w:i w:val="0"/>
          <w:sz w:val="21"/>
        </w:rPr>
      </w:r>
      <w:r>
        <w:rPr>
          <w:rFonts w:ascii="Calibri" w:hAnsi="Calibri" w:eastAsia="微软雅黑"/>
          <w:b/>
          <w:i w:val="0"/>
          <w:color w:val="2980B9"/>
          <w:sz w:val="21"/>
        </w:rPr>
        <w:t>[17]</w:t>
      </w:r>
      <w:r>
        <w:rPr>
          <w:rFonts w:ascii="Calibri" w:hAnsi="Calibri" w:eastAsia="微软雅黑"/>
          <w:b w:val="0"/>
          <w:i w:val="0"/>
          <w:sz w:val="21"/>
        </w:rPr>
        <w:t xml:space="preserve"> Rahul Rao, Cary L. Pint, Ahmad E. Islam, 等. Carbon Nanotubes and Related Nanomaterials: Critical Advances and Challenges for Synthesis toward Mainstream Commercial Applications. *ACS Nano*, 2018. doi:10.1021/acsnano.8b06511.</w:t>
      </w:r>
    </w:p>
    <w:p>
      <w:r>
        <w:rPr>
          <w:rFonts w:ascii="Calibri" w:hAnsi="Calibri" w:eastAsia="微软雅黑"/>
          <w:b w:val="0"/>
          <w:i w:val="0"/>
          <w:sz w:val="21"/>
        </w:rPr>
      </w:r>
      <w:r>
        <w:rPr>
          <w:rFonts w:ascii="Calibri" w:hAnsi="Calibri" w:eastAsia="微软雅黑"/>
          <w:b/>
          <w:i w:val="0"/>
          <w:color w:val="2980B9"/>
          <w:sz w:val="21"/>
        </w:rPr>
        <w:t>[18]</w:t>
      </w:r>
      <w:r>
        <w:rPr>
          <w:rFonts w:ascii="Calibri" w:hAnsi="Calibri" w:eastAsia="微软雅黑"/>
          <w:b w:val="0"/>
          <w:i w:val="0"/>
          <w:sz w:val="21"/>
        </w:rPr>
        <w:t xml:space="preserve"> Rattan Lal. Managing Soils and Ecosystems for Mitigating Anthropogenic Carbon Emissions and Advancing Global Food Security. *BioScience*, 2010. doi:10.1525/bio.2010.60.9.8.</w:t>
      </w:r>
    </w:p>
    <w:p>
      <w:r>
        <w:rPr>
          <w:rFonts w:ascii="Calibri" w:hAnsi="Calibri" w:eastAsia="微软雅黑"/>
          <w:b w:val="0"/>
          <w:i w:val="0"/>
          <w:sz w:val="21"/>
        </w:rPr>
      </w:r>
      <w:r>
        <w:rPr>
          <w:rFonts w:ascii="Calibri" w:hAnsi="Calibri" w:eastAsia="微软雅黑"/>
          <w:b/>
          <w:i w:val="0"/>
          <w:color w:val="2980B9"/>
          <w:sz w:val="21"/>
        </w:rPr>
        <w:t>[19]</w:t>
      </w:r>
      <w:r>
        <w:rPr>
          <w:rFonts w:ascii="Calibri" w:hAnsi="Calibri" w:eastAsia="微软雅黑"/>
          <w:b w:val="0"/>
          <w:i w:val="0"/>
          <w:sz w:val="21"/>
        </w:rPr>
        <w:t xml:space="preserve"> Fungmin Liew, Robert Nogle, Tanus Abdalla, 等. Carbon-negative production of acetone and isopropanol by gas fermentation at industrial pilot scale. *Nature Biotechnology*, 2022. doi:10.1038/s41587-021-01195-w.</w:t>
      </w:r>
    </w:p>
    <w:p>
      <w:r>
        <w:rPr>
          <w:rFonts w:ascii="Calibri" w:hAnsi="Calibri" w:eastAsia="微软雅黑"/>
          <w:b w:val="0"/>
          <w:i w:val="0"/>
          <w:sz w:val="21"/>
        </w:rPr>
      </w:r>
      <w:r>
        <w:rPr>
          <w:rFonts w:ascii="Calibri" w:hAnsi="Calibri" w:eastAsia="微软雅黑"/>
          <w:b/>
          <w:i w:val="0"/>
          <w:color w:val="2980B9"/>
          <w:sz w:val="21"/>
        </w:rPr>
        <w:t>[20]</w:t>
      </w:r>
      <w:r>
        <w:rPr>
          <w:rFonts w:ascii="Calibri" w:hAnsi="Calibri" w:eastAsia="微软雅黑"/>
          <w:b w:val="0"/>
          <w:i w:val="0"/>
          <w:sz w:val="21"/>
        </w:rPr>
        <w:t xml:space="preserve"> Norizan Mohd Nurazzi, M. R. M. Asyraf, Khalina Abdan, 等. Fabrication, Functionalization, and Application of Carbon Nanotube-Reinforced Polymer Composite: An Overview. *Polymers*, 2021. doi:10.3390/polym13071047.</w:t>
      </w:r>
    </w:p>
    <w:p>
      <w:r>
        <w:rPr>
          <w:rFonts w:ascii="Calibri" w:hAnsi="Calibri" w:eastAsia="微软雅黑"/>
          <w:b w:val="0"/>
          <w:i w:val="0"/>
          <w:sz w:val="21"/>
        </w:rPr>
      </w:r>
      <w:r>
        <w:rPr>
          <w:rFonts w:ascii="Calibri" w:hAnsi="Calibri" w:eastAsia="微软雅黑"/>
          <w:b/>
          <w:i w:val="0"/>
          <w:color w:val="2980B9"/>
          <w:sz w:val="21"/>
        </w:rPr>
        <w:t>[21]</w:t>
      </w:r>
      <w:r>
        <w:rPr>
          <w:rFonts w:ascii="Calibri" w:hAnsi="Calibri" w:eastAsia="微软雅黑"/>
          <w:b w:val="0"/>
          <w:i w:val="0"/>
          <w:sz w:val="21"/>
        </w:rPr>
        <w:t xml:space="preserve"> Hongzhe He, Ruoqun Zhang, Pengcheng Zhang, 等. Functional Carbon from Nature: Biomass‐Derived Carbon Materials and the Recent Progress of Their Applications. *Advanced Science*, 2023. doi:10.1002/advs.202205557.</w:t>
      </w:r>
    </w:p>
    <w:p>
      <w:r>
        <w:rPr>
          <w:rFonts w:ascii="Calibri" w:hAnsi="Calibri" w:eastAsia="微软雅黑"/>
          <w:b w:val="0"/>
          <w:i w:val="0"/>
          <w:sz w:val="21"/>
        </w:rPr>
      </w:r>
      <w:r>
        <w:rPr>
          <w:rFonts w:ascii="Calibri" w:hAnsi="Calibri" w:eastAsia="微软雅黑"/>
          <w:b/>
          <w:i w:val="0"/>
          <w:color w:val="2980B9"/>
          <w:sz w:val="21"/>
        </w:rPr>
        <w:t>[22]</w:t>
      </w:r>
      <w:r>
        <w:rPr>
          <w:rFonts w:ascii="Calibri" w:hAnsi="Calibri" w:eastAsia="微软雅黑"/>
          <w:b w:val="0"/>
          <w:i w:val="0"/>
          <w:sz w:val="21"/>
        </w:rPr>
        <w:t xml:space="preserve"> Luke C. M. Mackinder, Moritz T. Meyer, Tabea Mettler‐Altmann, 等. A repeat protein links Rubisco to form the eukaryotic carbon-concentrating organelle. *Proceedings of the National Academy of Sciences*, 2016. doi:10.1073/pnas.1522866113.</w:t>
      </w:r>
    </w:p>
    <w:p>
      <w:r>
        <w:rPr>
          <w:rFonts w:ascii="Calibri" w:hAnsi="Calibri" w:eastAsia="微软雅黑"/>
          <w:b w:val="0"/>
          <w:i w:val="0"/>
          <w:sz w:val="21"/>
        </w:rPr>
      </w:r>
      <w:r>
        <w:rPr>
          <w:rFonts w:ascii="Calibri" w:hAnsi="Calibri" w:eastAsia="微软雅黑"/>
          <w:b/>
          <w:i w:val="0"/>
          <w:color w:val="2980B9"/>
          <w:sz w:val="21"/>
        </w:rPr>
        <w:t>[23]</w:t>
      </w:r>
      <w:r>
        <w:rPr>
          <w:rFonts w:ascii="Calibri" w:hAnsi="Calibri" w:eastAsia="微软雅黑"/>
          <w:b w:val="0"/>
          <w:i w:val="0"/>
          <w:sz w:val="21"/>
        </w:rPr>
        <w:t xml:space="preserve"> Ligang Wang, Dingsheng Wang, Yadong Li. Single‐atom catalysis for carbon neutrality. *Carbon Energy*, 2022. doi:10.1002/cey2.194.</w:t>
      </w:r>
    </w:p>
    <w:p>
      <w:r>
        <w:rPr>
          <w:rFonts w:ascii="Calibri" w:hAnsi="Calibri" w:eastAsia="微软雅黑"/>
          <w:b w:val="0"/>
          <w:i w:val="0"/>
          <w:sz w:val="21"/>
        </w:rPr>
      </w:r>
      <w:r>
        <w:rPr>
          <w:rFonts w:ascii="Calibri" w:hAnsi="Calibri" w:eastAsia="微软雅黑"/>
          <w:b/>
          <w:i w:val="0"/>
          <w:color w:val="2980B9"/>
          <w:sz w:val="21"/>
        </w:rPr>
        <w:t>[24]</w:t>
      </w:r>
      <w:r>
        <w:rPr>
          <w:rFonts w:ascii="Calibri" w:hAnsi="Calibri" w:eastAsia="微软雅黑"/>
          <w:b w:val="0"/>
          <w:i w:val="0"/>
          <w:sz w:val="21"/>
        </w:rPr>
        <w:t xml:space="preserve"> Heleen de Coninck, Sally M. Benson. Carbon Dioxide Capture and Storage: Issues and Prospects. *Annual Review of Environment and Resources*, 2014. doi:10.1146/annurev-environ-032112-095222.</w:t>
      </w:r>
    </w:p>
    <w:p>
      <w:r>
        <w:rPr>
          <w:rFonts w:ascii="Calibri" w:hAnsi="Calibri" w:eastAsia="微软雅黑"/>
          <w:b w:val="0"/>
          <w:i w:val="0"/>
          <w:sz w:val="21"/>
        </w:rPr>
      </w:r>
      <w:r>
        <w:rPr>
          <w:rFonts w:ascii="Calibri" w:hAnsi="Calibri" w:eastAsia="微软雅黑"/>
          <w:b/>
          <w:i w:val="0"/>
          <w:color w:val="2980B9"/>
          <w:sz w:val="21"/>
        </w:rPr>
        <w:t>[25]</w:t>
      </w:r>
      <w:r>
        <w:rPr>
          <w:rFonts w:ascii="Calibri" w:hAnsi="Calibri" w:eastAsia="微软雅黑"/>
          <w:b w:val="0"/>
          <w:i w:val="0"/>
          <w:sz w:val="21"/>
        </w:rPr>
        <w:t xml:space="preserve"> Stith T. Gower. Patterns and Mechanisms of the Forest Carbon Cycle. *Annual Review of Environment and Resources*, 2003. doi:10.1146/annurev.energy.28.050302.105515.</w:t>
      </w:r>
    </w:p>
    <w:p>
      <w:r>
        <w:rPr>
          <w:rFonts w:ascii="Calibri" w:hAnsi="Calibri" w:eastAsia="微软雅黑"/>
          <w:b w:val="0"/>
          <w:i w:val="0"/>
          <w:sz w:val="21"/>
        </w:rPr>
      </w:r>
      <w:r>
        <w:rPr>
          <w:rFonts w:ascii="Calibri" w:hAnsi="Calibri" w:eastAsia="微软雅黑"/>
          <w:b/>
          <w:i w:val="0"/>
          <w:color w:val="2980B9"/>
          <w:sz w:val="21"/>
        </w:rPr>
        <w:t>[37]</w:t>
      </w:r>
      <w:r>
        <w:rPr>
          <w:rFonts w:ascii="Calibri" w:hAnsi="Calibri" w:eastAsia="微软雅黑"/>
          <w:b w:val="0"/>
          <w:i w:val="0"/>
          <w:sz w:val="21"/>
        </w:rPr>
        <w:t xml:space="preserve"> Sheraz Aslam, Herodotos Herodotou, Syed Muhammad Mohsin, 等. A survey on deep learning methods for power load and renewable energy forecasting in smart microgrids. *Renewable and Sustainable Energy Reviews*, 2021. doi:10.1016/j.rser.2021.110992.</w:t>
      </w:r>
    </w:p>
    <w:p>
      <w:r>
        <w:rPr>
          <w:rFonts w:ascii="Calibri" w:hAnsi="Calibri" w:eastAsia="微软雅黑"/>
          <w:b w:val="0"/>
          <w:i w:val="0"/>
          <w:sz w:val="21"/>
        </w:rPr>
      </w:r>
      <w:r>
        <w:rPr>
          <w:rFonts w:ascii="Calibri" w:hAnsi="Calibri" w:eastAsia="微软雅黑"/>
          <w:b/>
          <w:i w:val="0"/>
          <w:color w:val="2980B9"/>
          <w:sz w:val="21"/>
        </w:rPr>
        <w:t>[39]</w:t>
      </w:r>
      <w:r>
        <w:rPr>
          <w:rFonts w:ascii="Calibri" w:hAnsi="Calibri" w:eastAsia="微软雅黑"/>
          <w:b w:val="0"/>
          <w:i w:val="0"/>
          <w:sz w:val="21"/>
        </w:rPr>
        <w:t xml:space="preserve"> Zhe Wang, Tianzhen Hong, Mary Ann Piette. Building thermal load prediction through shallow machine learning and deep learning. *Applied Energy*, 2020. doi:10.1016/j.apenergy.2020.114683.</w:t>
      </w:r>
    </w:p>
    <w:p>
      <w:r>
        <w:rPr>
          <w:rFonts w:ascii="Calibri" w:hAnsi="Calibri" w:eastAsia="微软雅黑"/>
          <w:b w:val="0"/>
          <w:i w:val="0"/>
          <w:sz w:val="21"/>
        </w:rPr>
      </w:r>
      <w:r>
        <w:rPr>
          <w:rFonts w:ascii="Calibri" w:hAnsi="Calibri" w:eastAsia="微软雅黑"/>
          <w:b/>
          <w:i w:val="0"/>
          <w:color w:val="2980B9"/>
          <w:sz w:val="21"/>
        </w:rPr>
        <w:t>[40]</w:t>
      </w:r>
      <w:r>
        <w:rPr>
          <w:rFonts w:ascii="Calibri" w:hAnsi="Calibri" w:eastAsia="微软雅黑"/>
          <w:b w:val="0"/>
          <w:i w:val="0"/>
          <w:sz w:val="21"/>
        </w:rPr>
        <w:t xml:space="preserve"> Jatin Bedi, Durga Toshniwal. Deep learning framework to forecast electricity demand. *Applied Energy*, 2019. doi:10.1016/j.apenergy.2019.01.113.</w:t>
      </w:r>
    </w:p>
    <w:p>
      <w:pPr>
        <w:pStyle w:val="Heading3"/>
      </w:pPr>
      <w:r>
        <w:rPr>
          <w:rFonts w:ascii="Calibri" w:hAnsi="Calibri" w:eastAsia="微软雅黑"/>
          <w:b/>
          <w:i w:val="0"/>
          <w:color w:val="1A1A2E"/>
          <w:sz w:val="20"/>
        </w:rPr>
        <w:t>A级（优秀）</w:t>
      </w:r>
    </w:p>
    <w:p>
      <w:r>
        <w:rPr>
          <w:rFonts w:ascii="Calibri" w:hAnsi="Calibri" w:eastAsia="微软雅黑"/>
          <w:b w:val="0"/>
          <w:i w:val="0"/>
          <w:sz w:val="21"/>
        </w:rPr>
      </w:r>
      <w:r>
        <w:rPr>
          <w:rFonts w:ascii="Calibri" w:hAnsi="Calibri" w:eastAsia="微软雅黑"/>
          <w:b/>
          <w:i w:val="0"/>
          <w:color w:val="2980B9"/>
          <w:sz w:val="21"/>
        </w:rPr>
        <w:t>[29]</w:t>
      </w:r>
      <w:r>
        <w:rPr>
          <w:rFonts w:ascii="Calibri" w:hAnsi="Calibri" w:eastAsia="微软雅黑"/>
          <w:b w:val="0"/>
          <w:i w:val="0"/>
          <w:sz w:val="21"/>
        </w:rPr>
        <w:t xml:space="preserve"> Ozan Nadirgil. Carbon price prediction using multiple hybrid machine learning models optimized by genetic algorithm. *Journal of Environmental Management*, 2023. doi:10.1016/j.jenvman.2023.118061.</w:t>
      </w:r>
    </w:p>
    <w:p>
      <w:r>
        <w:rPr>
          <w:rFonts w:ascii="Calibri" w:hAnsi="Calibri" w:eastAsia="微软雅黑"/>
          <w:b w:val="0"/>
          <w:i w:val="0"/>
          <w:sz w:val="21"/>
        </w:rPr>
      </w:r>
      <w:r>
        <w:rPr>
          <w:rFonts w:ascii="Calibri" w:hAnsi="Calibri" w:eastAsia="微软雅黑"/>
          <w:b/>
          <w:i w:val="0"/>
          <w:color w:val="2980B9"/>
          <w:sz w:val="21"/>
        </w:rPr>
        <w:t>[43]</w:t>
      </w:r>
      <w:r>
        <w:rPr>
          <w:rFonts w:ascii="Calibri" w:hAnsi="Calibri" w:eastAsia="微软雅黑"/>
          <w:b w:val="0"/>
          <w:i w:val="0"/>
          <w:sz w:val="21"/>
        </w:rPr>
        <w:t xml:space="preserve"> Heng Shi, Minghao Xu, Ran Li. Deep Learning for Household Load Forecasting—A Novel Pooling Deep RNN. *IEEE Transactions on Smart Grid*, 2017. doi:10.1109/tsg.2017.2686012.</w:t>
      </w:r>
    </w:p>
    <w:p>
      <w:r>
        <w:rPr>
          <w:rFonts w:ascii="Calibri" w:hAnsi="Calibri" w:eastAsia="微软雅黑"/>
          <w:b w:val="0"/>
          <w:i w:val="0"/>
          <w:sz w:val="21"/>
        </w:rPr>
      </w:r>
      <w:r>
        <w:rPr>
          <w:rFonts w:ascii="Calibri" w:hAnsi="Calibri" w:eastAsia="微软雅黑"/>
          <w:b/>
          <w:i w:val="0"/>
          <w:color w:val="2980B9"/>
          <w:sz w:val="21"/>
        </w:rPr>
        <w:t>[44]</w:t>
      </w:r>
      <w:r>
        <w:rPr>
          <w:rFonts w:ascii="Calibri" w:hAnsi="Calibri" w:eastAsia="微软雅黑"/>
          <w:b w:val="0"/>
          <w:i w:val="0"/>
          <w:sz w:val="21"/>
        </w:rPr>
        <w:t xml:space="preserve"> Xueheng Qiu, Ye Ren, Ponnuthurai Nagaratnam Suganthan, 等. Empirical Mode Decomposition based ensemble deep learning for load demand time series forecasting. *Applied Soft Computing*, 2017. doi:10.1016/j.asoc.2017.01.015.</w:t>
      </w:r>
    </w:p>
    <w:p>
      <w:r>
        <w:rPr>
          <w:rFonts w:ascii="Calibri" w:hAnsi="Calibri" w:eastAsia="微软雅黑"/>
          <w:b w:val="0"/>
          <w:i w:val="0"/>
          <w:sz w:val="21"/>
        </w:rPr>
      </w:r>
      <w:r>
        <w:rPr>
          <w:rFonts w:ascii="Calibri" w:hAnsi="Calibri" w:eastAsia="微软雅黑"/>
          <w:b/>
          <w:i w:val="0"/>
          <w:color w:val="2980B9"/>
          <w:sz w:val="21"/>
        </w:rPr>
        <w:t>[45]</w:t>
      </w:r>
      <w:r>
        <w:rPr>
          <w:rFonts w:ascii="Calibri" w:hAnsi="Calibri" w:eastAsia="微软雅黑"/>
          <w:b w:val="0"/>
          <w:i w:val="0"/>
          <w:sz w:val="21"/>
        </w:rPr>
        <w:t xml:space="preserve"> Pratima Kumari, Durga Toshniwal. Deep learning models for solar irradiance forecasting: A comprehensive review. *Journal of Cleaner Production*, 2021. doi:10.1016/j.jclepro.2021.128566.</w:t>
      </w:r>
    </w:p>
    <w:p>
      <w:r>
        <w:rPr>
          <w:rFonts w:ascii="Calibri" w:hAnsi="Calibri" w:eastAsia="微软雅黑"/>
          <w:b w:val="0"/>
          <w:i w:val="0"/>
          <w:sz w:val="21"/>
        </w:rPr>
      </w:r>
      <w:r>
        <w:rPr>
          <w:rFonts w:ascii="Calibri" w:hAnsi="Calibri" w:eastAsia="微软雅黑"/>
          <w:b/>
          <w:i w:val="0"/>
          <w:color w:val="2980B9"/>
          <w:sz w:val="21"/>
        </w:rPr>
        <w:t>[46]</w:t>
      </w:r>
      <w:r>
        <w:rPr>
          <w:rFonts w:ascii="Calibri" w:hAnsi="Calibri" w:eastAsia="微软雅黑"/>
          <w:b w:val="0"/>
          <w:i w:val="0"/>
          <w:sz w:val="21"/>
        </w:rPr>
        <w:t xml:space="preserve"> Lulu Wen, Kaile Zhou, Shanlin Yang, 等. Optimal load dispatch of community microgrid with deep learning based solar power and load forecasting. *Energy*, 2019. doi:10.1016/j.energy.2019.01.075.</w:t>
      </w:r>
    </w:p>
    <w:p>
      <w:r>
        <w:rPr>
          <w:rFonts w:ascii="Calibri" w:hAnsi="Calibri" w:eastAsia="微软雅黑"/>
          <w:b w:val="0"/>
          <w:i w:val="0"/>
          <w:sz w:val="21"/>
        </w:rPr>
      </w:r>
      <w:r>
        <w:rPr>
          <w:rFonts w:ascii="Calibri" w:hAnsi="Calibri" w:eastAsia="微软雅黑"/>
          <w:b/>
          <w:i w:val="0"/>
          <w:color w:val="2980B9"/>
          <w:sz w:val="21"/>
        </w:rPr>
        <w:t>[47]</w:t>
      </w:r>
      <w:r>
        <w:rPr>
          <w:rFonts w:ascii="Calibri" w:hAnsi="Calibri" w:eastAsia="微软雅黑"/>
          <w:b w:val="0"/>
          <w:i w:val="0"/>
          <w:sz w:val="21"/>
        </w:rPr>
        <w:t xml:space="preserve"> Mohamad Khalil, A. Stephen McGough, Zoya Pourmirza, 等. Machine Learning, Deep Learning and Statistical Analysis for forecasting building energy consumption — A systematic review. *Engineering Applications of Artificial Intelligence*, 2022. doi:10.1016/j.engappai.2022.105287.</w:t>
      </w:r>
    </w:p>
    <w:p>
      <w:pPr>
        <w:pStyle w:val="Heading3"/>
      </w:pPr>
      <w:r>
        <w:rPr>
          <w:rFonts w:ascii="Calibri" w:hAnsi="Calibri" w:eastAsia="微软雅黑"/>
          <w:b/>
          <w:i w:val="0"/>
          <w:color w:val="1A1A2E"/>
          <w:sz w:val="20"/>
        </w:rPr>
        <w:t>B级（良好）</w:t>
      </w:r>
    </w:p>
    <w:p>
      <w:r>
        <w:rPr>
          <w:rFonts w:ascii="Calibri" w:hAnsi="Calibri" w:eastAsia="微软雅黑"/>
          <w:b w:val="0"/>
          <w:i w:val="0"/>
          <w:sz w:val="21"/>
        </w:rPr>
      </w:r>
      <w:r>
        <w:rPr>
          <w:rFonts w:ascii="Calibri" w:hAnsi="Calibri" w:eastAsia="微软雅黑"/>
          <w:b/>
          <w:i w:val="0"/>
          <w:color w:val="2980B9"/>
          <w:sz w:val="21"/>
        </w:rPr>
        <w:t>[9]</w:t>
      </w:r>
      <w:r>
        <w:rPr>
          <w:rFonts w:ascii="Calibri" w:hAnsi="Calibri" w:eastAsia="微软雅黑"/>
          <w:b w:val="0"/>
          <w:i w:val="0"/>
          <w:sz w:val="21"/>
        </w:rPr>
        <w:t xml:space="preserve"> Spyros Makridakis, Evangelos Spiliotis, Vassilios Assimakopoulos. Statistical and Machine Learning forecasting methods: Concerns and ways forward. *PLoS ONE*, 2018. doi:10.1371/journal.pone.0194889.</w:t>
      </w:r>
    </w:p>
    <w:p>
      <w:r>
        <w:rPr>
          <w:rFonts w:ascii="Calibri" w:hAnsi="Calibri" w:eastAsia="微软雅黑"/>
          <w:b w:val="0"/>
          <w:i w:val="0"/>
          <w:sz w:val="21"/>
        </w:rPr>
      </w:r>
      <w:r>
        <w:rPr>
          <w:rFonts w:ascii="Calibri" w:hAnsi="Calibri" w:eastAsia="微软雅黑"/>
          <w:b/>
          <w:i w:val="0"/>
          <w:color w:val="2980B9"/>
          <w:sz w:val="21"/>
        </w:rPr>
        <w:t>[10]</w:t>
      </w:r>
      <w:r>
        <w:rPr>
          <w:rFonts w:ascii="Calibri" w:hAnsi="Calibri" w:eastAsia="微软雅黑"/>
          <w:b w:val="0"/>
          <w:i w:val="0"/>
          <w:sz w:val="21"/>
        </w:rPr>
        <w:t xml:space="preserve"> Kamran Shaukat, Suhuai Luo, Vijay Varadharajan, 等. A Survey on Machine Learning Techniques for Cyber Security in the Last Decade. *IEEE Access*, 2020. doi:10.1109/access.2020.3041951.</w:t>
      </w:r>
    </w:p>
    <w:p/>
    <w:p>
      <w:pPr>
        <w:jc w:val="center"/>
      </w:pPr>
      <w:r>
        <w:rPr>
          <w:rFonts w:ascii="Calibri" w:hAnsi="Calibri" w:eastAsia="微软雅黑"/>
          <w:b w:val="0"/>
          <w:i/>
          <w:color w:val="AAAAAA"/>
          <w:sz w:val="16"/>
        </w:rPr>
        <w:t>— Consensus Pipeline 生成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