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宏學管理站 資料層每日驗收 SOP</w:t>
      </w:r>
    </w:p>
    <w:p>
      <w:pPr>
        <w:pStyle w:val="Subtitle"/>
      </w:pPr>
      <w:r>
        <w:t>適用範圍：Wasabi 遷移檢查、R2 live fallback、低風險與高風險資料一致性驗收</w:t>
      </w:r>
    </w:p>
    <w:tbl>
      <w:tblPr>
        <w:tblW w:type="dxa" w:w="9360"/>
        <w:jc w:val="left"/>
        <w:tblLook w:firstColumn="1" w:firstRow="1" w:lastColumn="0" w:lastRow="0" w:noHBand="0" w:noVBand="1" w:val="04A0"/>
        <w:tblLayout w:type="fixed"/>
        <w:tblBorders>
          <w:top w:val="single" w:sz="6" w:space="0" w:color="D8DEE9"/>
          <w:left w:val="single" w:sz="6" w:space="0" w:color="D8DEE9"/>
          <w:bottom w:val="single" w:sz="6" w:space="0" w:color="D8DEE9"/>
          <w:right w:val="single" w:sz="6" w:space="0" w:color="D8DEE9"/>
          <w:insideH w:val="single" w:sz="6" w:space="0" w:color="D8DEE9"/>
          <w:insideV w:val="single" w:sz="6" w:space="0" w:color="D8DEE9"/>
        </w:tblBorders>
      </w:tblPr>
      <w:tblGrid>
        <w:gridCol w:w="9360"/>
      </w:tblGrid>
      <w:tr>
        <w:tc>
          <w:tcPr>
            <w:tcW w:type="dxa" w:w="9360"/>
            <w:vAlign w:val="center"/>
            <w:shd w:fill="ECFDF5"/>
          </w:tcPr>
          <w:p>
            <w:pPr>
              <w:spacing w:after="80"/>
            </w:pPr>
            <w:r/>
            <w:r>
              <w:rPr>
                <w:rFonts w:ascii="Microsoft JhengHei" w:hAnsi="Microsoft JhengHei" w:eastAsia="Microsoft JhengHei"/>
                <w:b/>
                <w:color w:val="047857"/>
                <w:sz w:val="21"/>
              </w:rPr>
              <w:t>目前結論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color w:val="334155"/>
                <w:sz w:val="20"/>
              </w:rPr>
              <w:t>低風險資料已可切 Wasabi 優先讀取；高風險資料目前採 R2 live 優先、KV fallback，Wasabi 先作為快照與雙寫觀察，不作為會員、點數、訂單的主讀取庫。</w:t>
            </w:r>
          </w:p>
        </w:tc>
      </w:tr>
    </w:tbl>
    <w:p/>
    <w:p>
      <w:pPr>
        <w:pStyle w:val="Heading1"/>
      </w:pPr>
      <w:r>
        <w:t>資料層現況</w:t>
      </w:r>
    </w:p>
    <w:tbl>
      <w:tblPr>
        <w:tblW w:type="dxa" w:w="9360"/>
        <w:jc w:val="left"/>
        <w:tblLook w:firstColumn="1" w:firstRow="1" w:lastColumn="0" w:lastRow="0" w:noHBand="0" w:noVBand="1" w:val="04A0"/>
        <w:tblLayout w:type="fixed"/>
        <w:tblBorders>
          <w:top w:val="single" w:sz="6" w:space="0" w:color="D8DEE9"/>
          <w:left w:val="single" w:sz="6" w:space="0" w:color="D8DEE9"/>
          <w:bottom w:val="single" w:sz="6" w:space="0" w:color="D8DEE9"/>
          <w:right w:val="single" w:sz="6" w:space="0" w:color="D8DEE9"/>
          <w:insideH w:val="single" w:sz="6" w:space="0" w:color="D8DEE9"/>
          <w:insideV w:val="single" w:sz="6" w:space="0" w:color="D8DEE9"/>
        </w:tblBorders>
      </w:tblPr>
      <w:tblGrid>
        <w:gridCol w:w="2050"/>
        <w:gridCol w:w="2500"/>
        <w:gridCol w:w="2450"/>
        <w:gridCol w:w="2360"/>
      </w:tblGrid>
      <w:tr>
        <w:tc>
          <w:tcPr>
            <w:tcW w:type="dxa" w:w="205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F3A5F"/>
                <w:sz w:val="20"/>
              </w:rPr>
              <w:t>資料類型</w:t>
            </w:r>
          </w:p>
        </w:tc>
        <w:tc>
          <w:tcPr>
            <w:tcW w:type="dxa" w:w="250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F3A5F"/>
                <w:sz w:val="20"/>
              </w:rPr>
              <w:t>目前來源</w:t>
            </w:r>
          </w:p>
        </w:tc>
        <w:tc>
          <w:tcPr>
            <w:tcW w:type="dxa" w:w="245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F3A5F"/>
                <w:sz w:val="20"/>
              </w:rPr>
              <w:t>Wasabi 狀態</w:t>
            </w:r>
          </w:p>
        </w:tc>
        <w:tc>
          <w:tcPr>
            <w:tcW w:type="dxa" w:w="236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F3A5F"/>
                <w:sz w:val="20"/>
              </w:rPr>
              <w:t>驗收重點</w:t>
            </w:r>
          </w:p>
        </w:tc>
      </w:tr>
      <w:tr>
        <w:tc>
          <w:tcPr>
            <w:tcW w:type="dxa" w:w="2050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低風險：課程、商城、影音</w:t>
            </w:r>
          </w:p>
        </w:tc>
        <w:tc>
          <w:tcPr>
            <w:tcW w:type="dxa" w:w="2500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可切 Wasabi 優先，保留 R2/KV fallback</w:t>
            </w:r>
          </w:p>
        </w:tc>
        <w:tc>
          <w:tcPr>
            <w:tcW w:type="dxa" w:w="2450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快照、一致性驗證、雙寫觀察</w:t>
            </w:r>
          </w:p>
        </w:tc>
        <w:tc>
          <w:tcPr>
            <w:tcW w:type="dxa" w:w="2360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筆數與 hash 一致</w:t>
            </w:r>
          </w:p>
        </w:tc>
      </w:tr>
      <w:tr>
        <w:tc>
          <w:tcPr>
            <w:tcW w:type="dxa" w:w="2050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高風險：會員、點數、點數總表、訂單</w:t>
            </w:r>
          </w:p>
        </w:tc>
        <w:tc>
          <w:tcPr>
            <w:tcW w:type="dxa" w:w="2500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R2 live 優先，KV fallback</w:t>
            </w:r>
          </w:p>
        </w:tc>
        <w:tc>
          <w:tcPr>
            <w:tcW w:type="dxa" w:w="2450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快照與雙寫觀察，尚未作為主讀取來源</w:t>
            </w:r>
          </w:p>
        </w:tc>
        <w:tc>
          <w:tcPr>
            <w:tcW w:type="dxa" w:w="2360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贈扣點不受 KV 滿額阻擋</w:t>
            </w:r>
          </w:p>
        </w:tc>
      </w:tr>
      <w:tr>
        <w:tc>
          <w:tcPr>
            <w:tcW w:type="dxa" w:w="2050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KV</w:t>
            </w:r>
          </w:p>
        </w:tc>
        <w:tc>
          <w:tcPr>
            <w:tcW w:type="dxa" w:w="2500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兼容與回滾用途</w:t>
            </w:r>
          </w:p>
        </w:tc>
        <w:tc>
          <w:tcPr>
            <w:tcW w:type="dxa" w:w="2450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不是唯一寫入承載</w:t>
            </w:r>
          </w:p>
        </w:tc>
        <w:tc>
          <w:tcPr>
            <w:tcW w:type="dxa" w:w="2360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KV 滿額時不能讓營運操作失敗</w:t>
            </w:r>
          </w:p>
        </w:tc>
      </w:tr>
    </w:tbl>
    <w:p>
      <w:pPr>
        <w:pStyle w:val="Heading1"/>
      </w:pPr>
      <w:r>
        <w:t>每日驗收流程</w:t>
      </w:r>
    </w:p>
    <w:p>
      <w:pPr>
        <w:pStyle w:val="ListNumber"/>
      </w:pPr>
      <w:r>
        <w:t>進入後台「營運工具 &gt; Wasabi 遷移檢查」。</w:t>
      </w:r>
    </w:p>
    <w:p>
      <w:pPr>
        <w:pStyle w:val="ListNumber"/>
      </w:pPr>
      <w:r>
        <w:t>先按「執行檢查」，確認連線健康、讀取來源狀態、雙寫觀察狀態都有更新。</w:t>
      </w:r>
    </w:p>
    <w:p>
      <w:pPr>
        <w:pStyle w:val="ListNumber"/>
      </w:pPr>
      <w:r>
        <w:t>按「每日總檢查」。系統會一次執行 Wasabi 健康檢查、低風險一致性、高風險一致性。</w:t>
      </w:r>
    </w:p>
    <w:p>
      <w:pPr>
        <w:pStyle w:val="ListNumber"/>
      </w:pPr>
      <w:r>
        <w:t>總檢查顯示通過時，截圖留存即可作為當日驗收紀錄。</w:t>
      </w:r>
    </w:p>
    <w:p>
      <w:pPr>
        <w:pStyle w:val="ListNumber"/>
      </w:pPr>
      <w:r>
        <w:t>若任一區塊顯示失敗，依本文件「異常判讀」處理，不要直接切換主庫。</w:t>
      </w:r>
    </w:p>
    <w:p>
      <w:pPr>
        <w:pStyle w:val="Heading1"/>
      </w:pPr>
      <w:r>
        <w:t>通過標準</w:t>
      </w:r>
    </w:p>
    <w:tbl>
      <w:tblPr>
        <w:tblW w:type="dxa" w:w="9360"/>
        <w:jc w:val="left"/>
        <w:tblLook w:firstColumn="1" w:firstRow="1" w:lastColumn="0" w:lastRow="0" w:noHBand="0" w:noVBand="1" w:val="04A0"/>
        <w:tblLayout w:type="fixed"/>
        <w:tblBorders>
          <w:top w:val="single" w:sz="6" w:space="0" w:color="D8DEE9"/>
          <w:left w:val="single" w:sz="6" w:space="0" w:color="D8DEE9"/>
          <w:bottom w:val="single" w:sz="6" w:space="0" w:color="D8DEE9"/>
          <w:right w:val="single" w:sz="6" w:space="0" w:color="D8DEE9"/>
          <w:insideH w:val="single" w:sz="6" w:space="0" w:color="D8DEE9"/>
          <w:insideV w:val="single" w:sz="6" w:space="0" w:color="D8DEE9"/>
        </w:tblBorders>
      </w:tblPr>
      <w:tblGrid>
        <w:gridCol w:w="2600"/>
        <w:gridCol w:w="3900"/>
        <w:gridCol w:w="2860"/>
      </w:tblGrid>
      <w:tr>
        <w:tc>
          <w:tcPr>
            <w:tcW w:type="dxa" w:w="260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F3A5F"/>
                <w:sz w:val="20"/>
              </w:rPr>
              <w:t>檢查項目</w:t>
            </w:r>
          </w:p>
        </w:tc>
        <w:tc>
          <w:tcPr>
            <w:tcW w:type="dxa" w:w="390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F3A5F"/>
                <w:sz w:val="20"/>
              </w:rPr>
              <w:t>畫面應顯示</w:t>
            </w:r>
          </w:p>
        </w:tc>
        <w:tc>
          <w:tcPr>
            <w:tcW w:type="dxa" w:w="286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F3A5F"/>
                <w:sz w:val="20"/>
              </w:rPr>
              <w:t>通過判斷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Wasabi 連線健康</w:t>
            </w:r>
          </w:p>
        </w:tc>
        <w:tc>
          <w:tcPr>
            <w:tcW w:type="dxa" w:w="3900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PutObject / HeadObject / GetObject / DeleteObject 通過</w:t>
            </w:r>
          </w:p>
        </w:tc>
        <w:tc>
          <w:tcPr>
            <w:tcW w:type="dxa" w:w="2860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四項皆通過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低風險一致性</w:t>
            </w:r>
          </w:p>
        </w:tc>
        <w:tc>
          <w:tcPr>
            <w:tcW w:type="dxa" w:w="3900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課程、商城、影音皆為一致</w:t>
            </w:r>
          </w:p>
        </w:tc>
        <w:tc>
          <w:tcPr>
            <w:tcW w:type="dxa" w:w="2860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本機筆數與 Wasabi 筆數一致，hash 一致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高風險一致性</w:t>
            </w:r>
          </w:p>
        </w:tc>
        <w:tc>
          <w:tcPr>
            <w:tcW w:type="dxa" w:w="3900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會員、點數、點數總表、訂單皆為一致</w:t>
            </w:r>
          </w:p>
        </w:tc>
        <w:tc>
          <w:tcPr>
            <w:tcW w:type="dxa" w:w="2860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本機筆數與 Wasabi 筆數一致，hash 一致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讀取來源狀態</w:t>
            </w:r>
          </w:p>
        </w:tc>
        <w:tc>
          <w:tcPr>
            <w:tcW w:type="dxa" w:w="3900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高風險：R2 live 優先 / KV fallback</w:t>
            </w:r>
          </w:p>
        </w:tc>
        <w:tc>
          <w:tcPr>
            <w:tcW w:type="dxa" w:w="2860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顯示清楚，避免誤認已切 Wasabi 主庫</w:t>
            </w:r>
          </w:p>
        </w:tc>
      </w:tr>
    </w:tbl>
    <w:p>
      <w:pPr>
        <w:pStyle w:val="Heading1"/>
      </w:pPr>
      <w:r>
        <w:t>贈點測試流程</w:t>
      </w:r>
    </w:p>
    <w:tbl>
      <w:tblPr>
        <w:tblW w:type="dxa" w:w="9360"/>
        <w:jc w:val="left"/>
        <w:tblLook w:firstColumn="1" w:firstRow="1" w:lastColumn="0" w:lastRow="0" w:noHBand="0" w:noVBand="1" w:val="04A0"/>
        <w:tblLayout w:type="fixed"/>
        <w:tblBorders>
          <w:top w:val="single" w:sz="6" w:space="0" w:color="D8DEE9"/>
          <w:left w:val="single" w:sz="6" w:space="0" w:color="D8DEE9"/>
          <w:bottom w:val="single" w:sz="6" w:space="0" w:color="D8DEE9"/>
          <w:right w:val="single" w:sz="6" w:space="0" w:color="D8DEE9"/>
          <w:insideH w:val="single" w:sz="6" w:space="0" w:color="D8DEE9"/>
          <w:insideV w:val="single" w:sz="6" w:space="0" w:color="D8DEE9"/>
        </w:tblBorders>
      </w:tblPr>
      <w:tblGrid>
        <w:gridCol w:w="9360"/>
      </w:tblGrid>
      <w:tr>
        <w:tc>
          <w:tcPr>
            <w:tcW w:type="dxa" w:w="9360"/>
            <w:vAlign w:val="center"/>
            <w:shd w:fill="FFF7ED"/>
          </w:tcPr>
          <w:p>
            <w:pPr>
              <w:spacing w:after="80"/>
            </w:pPr>
            <w:r/>
            <w:r>
              <w:rPr>
                <w:rFonts w:ascii="Microsoft JhengHei" w:hAnsi="Microsoft JhengHei" w:eastAsia="Microsoft JhengHei"/>
                <w:b/>
                <w:color w:val="7A5A00"/>
                <w:sz w:val="21"/>
              </w:rPr>
              <w:t>測試目的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color w:val="334155"/>
                <w:sz w:val="20"/>
              </w:rPr>
              <w:t>確認 KV 當日寫入額度已滿時，點數贈扣仍能由 R2 live 接住，並能進入 Wasabi 高風險快照驗證。</w:t>
            </w:r>
          </w:p>
        </w:tc>
      </w:tr>
    </w:tbl>
    <w:p/>
    <w:p>
      <w:pPr>
        <w:pStyle w:val="ListNumber"/>
      </w:pPr>
      <w:r>
        <w:t>在會員 CRM 開啟一位測試會員。</w:t>
      </w:r>
    </w:p>
    <w:p>
      <w:pPr>
        <w:pStyle w:val="ListNumber"/>
      </w:pPr>
      <w:r>
        <w:t>執行「贈點」並輸入小額點數，例如 1 點或 10 點，原因填寫 test。</w:t>
      </w:r>
    </w:p>
    <w:p>
      <w:pPr>
        <w:pStyle w:val="ListNumber"/>
      </w:pPr>
      <w:r>
        <w:t>確認畫面沒有出現 KV put() limit exceeded for the day。</w:t>
      </w:r>
    </w:p>
    <w:p>
      <w:pPr>
        <w:pStyle w:val="ListNumber"/>
      </w:pPr>
      <w:r>
        <w:t>回到 Wasabi 遷移檢查，按「執行檢查」。</w:t>
      </w:r>
    </w:p>
    <w:p>
      <w:pPr>
        <w:pStyle w:val="ListNumber"/>
      </w:pPr>
      <w:r>
        <w:t>確認「高風險雙寫觀察」中的會員點數與點數進出總表為最後寫入成功。</w:t>
      </w:r>
    </w:p>
    <w:p>
      <w:pPr>
        <w:pStyle w:val="ListNumber"/>
      </w:pPr>
      <w:r>
        <w:t>按「驗證高風險一致」或「每日總檢查」，確認高風險一致性通過。</w:t>
      </w:r>
    </w:p>
    <w:p>
      <w:pPr>
        <w:pStyle w:val="Heading1"/>
      </w:pPr>
      <w:r>
        <w:t>異常判讀</w:t>
      </w:r>
    </w:p>
    <w:tbl>
      <w:tblPr>
        <w:tblW w:type="dxa" w:w="9360"/>
        <w:jc w:val="left"/>
        <w:tblLook w:firstColumn="1" w:firstRow="1" w:lastColumn="0" w:lastRow="0" w:noHBand="0" w:noVBand="1" w:val="04A0"/>
        <w:tblLayout w:type="fixed"/>
        <w:tblBorders>
          <w:top w:val="single" w:sz="6" w:space="0" w:color="D8DEE9"/>
          <w:left w:val="single" w:sz="6" w:space="0" w:color="D8DEE9"/>
          <w:bottom w:val="single" w:sz="6" w:space="0" w:color="D8DEE9"/>
          <w:right w:val="single" w:sz="6" w:space="0" w:color="D8DEE9"/>
          <w:insideH w:val="single" w:sz="6" w:space="0" w:color="D8DEE9"/>
          <w:insideV w:val="single" w:sz="6" w:space="0" w:color="D8DEE9"/>
        </w:tblBorders>
      </w:tblPr>
      <w:tblGrid>
        <w:gridCol w:w="2500"/>
        <w:gridCol w:w="3300"/>
        <w:gridCol w:w="3560"/>
      </w:tblGrid>
      <w:tr>
        <w:tc>
          <w:tcPr>
            <w:tcW w:type="dxa" w:w="2500"/>
            <w:vAlign w:val="center"/>
            <w:shd w:fill="FEE2E2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9B1C1C"/>
                <w:sz w:val="20"/>
              </w:rPr>
              <w:t>異常畫面</w:t>
            </w:r>
          </w:p>
        </w:tc>
        <w:tc>
          <w:tcPr>
            <w:tcW w:type="dxa" w:w="3300"/>
            <w:vAlign w:val="center"/>
            <w:shd w:fill="FEE2E2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9B1C1C"/>
                <w:sz w:val="20"/>
              </w:rPr>
              <w:t>可能原因</w:t>
            </w:r>
          </w:p>
        </w:tc>
        <w:tc>
          <w:tcPr>
            <w:tcW w:type="dxa" w:w="3560"/>
            <w:vAlign w:val="center"/>
            <w:shd w:fill="FEE2E2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9B1C1C"/>
                <w:sz w:val="20"/>
              </w:rPr>
              <w:t>處理方式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KV put() limit exceeded</w:t>
            </w:r>
          </w:p>
        </w:tc>
        <w:tc>
          <w:tcPr>
            <w:tcW w:type="dxa" w:w="3300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KV 今日寫入額度已滿，或仍有未改成 R2 live 的寫入點</w:t>
            </w:r>
          </w:p>
        </w:tc>
        <w:tc>
          <w:tcPr>
            <w:tcW w:type="dxa" w:w="3560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先確認是否已部署最新版；若仍發生，記錄操作位置與錯誤畫面再修補該寫入點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低風險不一致</w:t>
            </w:r>
          </w:p>
        </w:tc>
        <w:tc>
          <w:tcPr>
            <w:tcW w:type="dxa" w:w="3300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課程、商城或影音資料有新異動但尚未重新快照</w:t>
            </w:r>
          </w:p>
        </w:tc>
        <w:tc>
          <w:tcPr>
            <w:tcW w:type="dxa" w:w="3560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先按匯出低風險快照，再按驗證；若仍不一致，檢查商品/課程數量是否符合預期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高風險不一致</w:t>
            </w:r>
          </w:p>
        </w:tc>
        <w:tc>
          <w:tcPr>
            <w:tcW w:type="dxa" w:w="3300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會員、點數或訂單剛異動，快照尚未更新或同步失敗</w:t>
            </w:r>
          </w:p>
        </w:tc>
        <w:tc>
          <w:tcPr>
            <w:tcW w:type="dxa" w:w="3560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先按匯出高風險快照，再按驗證；若仍不一致，查看紅色項目是哪一組資料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Wasabi 健康失敗</w:t>
            </w:r>
          </w:p>
        </w:tc>
        <w:tc>
          <w:tcPr>
            <w:tcW w:type="dxa" w:w="3300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Wasabi Secret、Bucket、Region 或網路連線異常</w:t>
            </w:r>
          </w:p>
        </w:tc>
        <w:tc>
          <w:tcPr>
            <w:tcW w:type="dxa" w:w="3560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先不要切換來源；檢查 Worker Secrets 與 Wasabi 服務狀態</w:t>
            </w:r>
          </w:p>
        </w:tc>
      </w:tr>
    </w:tbl>
    <w:p>
      <w:pPr>
        <w:pStyle w:val="Heading1"/>
      </w:pPr>
      <w:r>
        <w:t>交付前提醒</w:t>
      </w:r>
    </w:p>
    <w:p>
      <w:pPr>
        <w:pStyle w:val="ListBullet"/>
      </w:pPr>
      <w:r>
        <w:t>每日總檢查通過，代表當下快照與來源一致，不代表可以立即移除 KV。</w:t>
      </w:r>
    </w:p>
    <w:p>
      <w:pPr>
        <w:pStyle w:val="ListBullet"/>
      </w:pPr>
      <w:r>
        <w:t>高風險資料仍須觀察一段真實營運寫入，再討論是否切 Wasabi 主讀取。</w:t>
      </w:r>
    </w:p>
    <w:p>
      <w:pPr>
        <w:pStyle w:val="ListBullet"/>
      </w:pPr>
      <w:r>
        <w:t>任何紅色失敗項目都應先截圖與記錄時間，再進行修補或重新匯出。</w:t>
      </w:r>
    </w:p>
    <w:p>
      <w:pPr>
        <w:pStyle w:val="ListBullet"/>
      </w:pPr>
      <w:r>
        <w:t>業主驗收時，建議同時保留每日總檢查截圖與一次贈點測試截圖。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color w:val="64748B"/>
        <w:sz w:val="16"/>
      </w:rPr>
      <w:t>宏學管理站 資料層驗收 SOP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20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B254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40"/>
    </w:pPr>
    <w:rPr>
      <w:rFonts w:asciiTheme="majorHAnsi" w:eastAsiaTheme="majorEastAsia" w:hAnsiTheme="majorHAnsi" w:cstheme="majorBidi" w:ascii="Microsoft JhengHei" w:hAnsi="Microsoft JhengHei" w:eastAsia="Microsoft JhengHei"/>
      <w:b/>
      <w:i/>
      <w:iCs/>
      <w:color w:val="64748B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