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2247A" w14:textId="77777777" w:rsidR="000A79F7" w:rsidRDefault="000A79F7">
      <w:r>
        <w:t xml:space="preserve">The result of this exploratory analysis is a report that consists of the following: </w:t>
      </w:r>
    </w:p>
    <w:p w14:paraId="2C4B067D" w14:textId="6AE756D5" w:rsidR="000A79F7" w:rsidRDefault="000A79F7" w:rsidP="00CE6F6D">
      <w:pPr>
        <w:pStyle w:val="ListParagraph"/>
        <w:numPr>
          <w:ilvl w:val="0"/>
          <w:numId w:val="1"/>
        </w:numPr>
      </w:pPr>
      <w:r>
        <w:t xml:space="preserve">One paragraph overview of background and some small number of primary research questions of interest. </w:t>
      </w:r>
    </w:p>
    <w:p w14:paraId="48577AD8" w14:textId="235C9DEB" w:rsidR="001720EE" w:rsidRDefault="00CE6F6D" w:rsidP="00C95DFF">
      <w:r>
        <w:t>The 2020 COVID-19 global lockdowns reportedly led t</w:t>
      </w:r>
      <w:r>
        <w:t xml:space="preserve">o decreased ambient particulate </w:t>
      </w:r>
      <w:r>
        <w:t xml:space="preserve">matter (PM2.5) concentrations (1). </w:t>
      </w:r>
      <w:r>
        <w:t xml:space="preserve">The lockdowns were </w:t>
      </w:r>
      <w:r w:rsidR="00F87180">
        <w:t xml:space="preserve">generally </w:t>
      </w:r>
      <w:r>
        <w:t>associated with changes in human mobility patterns</w:t>
      </w:r>
      <w:r w:rsidR="002F44B8">
        <w:t>, including</w:t>
      </w:r>
      <w:r>
        <w:t xml:space="preserve"> increased time spent in reside</w:t>
      </w:r>
      <w:r w:rsidR="00460CD0">
        <w:t>ntial locations and a decreased concentration of individual’s visiting</w:t>
      </w:r>
      <w:r>
        <w:t xml:space="preserve"> work</w:t>
      </w:r>
      <w:r w:rsidR="00456EE9">
        <w:t>places</w:t>
      </w:r>
      <w:r w:rsidR="002F44B8">
        <w:t xml:space="preserve"> </w:t>
      </w:r>
      <w:commentRangeStart w:id="0"/>
      <w:r w:rsidR="002F44B8">
        <w:t>(cite)</w:t>
      </w:r>
      <w:r w:rsidR="00C95DFF">
        <w:t>.</w:t>
      </w:r>
      <w:r>
        <w:t xml:space="preserve"> </w:t>
      </w:r>
      <w:commentRangeEnd w:id="0"/>
      <w:r w:rsidR="002F44B8">
        <w:rPr>
          <w:rStyle w:val="CommentReference"/>
        </w:rPr>
        <w:commentReference w:id="0"/>
      </w:r>
      <w:r w:rsidR="00C95DFF" w:rsidRPr="00C95DFF">
        <w:t xml:space="preserve"> However, the extent of these changes varied geographically (4), turning the lockdowns into a natural experiment to assess how distinct community mobility patterns influence PM2.5 concentrations.</w:t>
      </w:r>
      <w:r w:rsidR="00C95DFF">
        <w:t xml:space="preserve"> </w:t>
      </w:r>
      <w:r w:rsidR="00B54CB0">
        <w:t xml:space="preserve">Primary sources of PM2.5 vary geographically and are associated with country development status. </w:t>
      </w:r>
      <w:commentRangeStart w:id="1"/>
      <w:commentRangeStart w:id="2"/>
      <w:r w:rsidR="00B54CB0">
        <w:t xml:space="preserve">Traffic is a primary contributor to PM2.5 in </w:t>
      </w:r>
      <w:r w:rsidR="00A179D1">
        <w:t xml:space="preserve">Western </w:t>
      </w:r>
      <w:r w:rsidR="00B54CB0">
        <w:t>European countries</w:t>
      </w:r>
      <w:r w:rsidR="005E5D10">
        <w:t xml:space="preserve">, </w:t>
      </w:r>
      <w:commentRangeEnd w:id="1"/>
      <w:r w:rsidR="00B54CB0">
        <w:rPr>
          <w:rStyle w:val="CommentReference"/>
        </w:rPr>
        <w:commentReference w:id="1"/>
      </w:r>
      <w:r w:rsidR="005E5D10">
        <w:t xml:space="preserve">while industrial sources are a main contributor in lower-middle income countries, primary because of the reliance </w:t>
      </w:r>
      <w:r w:rsidR="00D16209">
        <w:t xml:space="preserve">on heavily polluting industries, </w:t>
      </w:r>
      <w:r w:rsidR="005E5D10">
        <w:t>a</w:t>
      </w:r>
      <w:r w:rsidR="00D16209">
        <w:t xml:space="preserve"> hallmark feature </w:t>
      </w:r>
      <w:r w:rsidR="006F76D7">
        <w:t>of</w:t>
      </w:r>
      <w:r w:rsidR="00460CD0">
        <w:t xml:space="preserve"> </w:t>
      </w:r>
      <w:r w:rsidR="00E65CD2">
        <w:t xml:space="preserve">early stage </w:t>
      </w:r>
      <w:r w:rsidR="00D16209">
        <w:t>economic</w:t>
      </w:r>
      <w:r w:rsidR="006F76D7">
        <w:t xml:space="preserve"> </w:t>
      </w:r>
      <w:r w:rsidR="00B662B2">
        <w:t>development.</w:t>
      </w:r>
      <w:commentRangeEnd w:id="2"/>
      <w:r w:rsidR="00460CD0">
        <w:rPr>
          <w:rStyle w:val="CommentReference"/>
        </w:rPr>
        <w:commentReference w:id="2"/>
      </w:r>
      <w:r w:rsidR="001846A7">
        <w:t xml:space="preserve"> Further</w:t>
      </w:r>
      <w:r w:rsidR="001846A7" w:rsidRPr="001846A7">
        <w:t xml:space="preserve">, in low-middle-income countries, a substantial portion of PM2.5 concentration arises from household cooking with solid fuels—a source that is largely absent in high-income settings. This underscores a crucial distinction in pollution sources between </w:t>
      </w:r>
      <w:r w:rsidR="00B15C6B">
        <w:t>stages of economic development.</w:t>
      </w:r>
    </w:p>
    <w:p w14:paraId="00E8B40C" w14:textId="2F662C2C" w:rsidR="00B15C6B" w:rsidRPr="004915C4" w:rsidRDefault="005A5302" w:rsidP="00B15C6B">
      <w:r>
        <w:t>Our goal is to evaluate how changes in mobility patterns impact PM2.5 concentrations, particularly changes in attendance at wor</w:t>
      </w:r>
      <w:r w:rsidR="009B7821">
        <w:t xml:space="preserve">kplaces and time spent at home. We hypothesize that there will be differential effects of mobility changes on PM2.5 concentrations according to country development status. Specifically, we predict that decreases in workplace attendance will be associated with larger decreases in PM2.5 in lower-middle income countries as compared to high income countries, reflecting the differences in prevalence and reliance on heavily polluting industries. </w:t>
      </w:r>
      <w:r w:rsidR="00B15C6B">
        <w:t xml:space="preserve">We also predict that increased time in residential locations will be associated with either an increase, or less dramatic decrease in PM2.5 in lower-middle income countries as compared to high income countries, reflecting </w:t>
      </w:r>
      <w:r w:rsidR="00A179D1">
        <w:t xml:space="preserve">increased </w:t>
      </w:r>
      <w:r w:rsidR="006D5F59">
        <w:t xml:space="preserve">frequency and/or quantity of </w:t>
      </w:r>
      <w:r w:rsidR="00A5510D">
        <w:t>cooking with solid fuels.</w:t>
      </w:r>
      <w:r w:rsidR="009D7318">
        <w:t xml:space="preserve"> These findings may help inform how human mobility patterns</w:t>
      </w:r>
      <w:r w:rsidR="009D7318" w:rsidRPr="009D7318">
        <w:t xml:space="preserve"> </w:t>
      </w:r>
      <w:r w:rsidR="009D7318">
        <w:t>lead to disproportionate exposure to</w:t>
      </w:r>
      <w:r w:rsidR="009D7318" w:rsidRPr="009D7318">
        <w:t xml:space="preserve"> PM2.5 </w:t>
      </w:r>
      <w:r w:rsidR="009D7318">
        <w:t>in low-middle income settings.</w:t>
      </w:r>
    </w:p>
    <w:p w14:paraId="46DE6422" w14:textId="10B1BF11" w:rsidR="000A79F7" w:rsidRDefault="000A79F7" w:rsidP="0035475B">
      <w:pPr>
        <w:pStyle w:val="ListParagraph"/>
        <w:numPr>
          <w:ilvl w:val="0"/>
          <w:numId w:val="1"/>
        </w:numPr>
      </w:pPr>
      <w:r>
        <w:t>One paragraph describing your data sources: What is the structure of your data files (e.g., student</w:t>
      </w:r>
      <w:r w:rsidR="00CE6F6D">
        <w:t xml:space="preserve"> </w:t>
      </w:r>
      <w:r>
        <w:t xml:space="preserve">level, school-level, teacher-level, </w:t>
      </w:r>
      <w:proofErr w:type="gramStart"/>
      <w:r>
        <w:t>county</w:t>
      </w:r>
      <w:proofErr w:type="gramEnd"/>
      <w:r>
        <w:t xml:space="preserve">-level)? Do the variables come from surveys, administrative records, classroom observations, etc.? Please feel free to discuss any data decisions you’ve made or are considering (e.g., you’re dropping certain observations, creating new measures, or are unsure of which measures to use). Make sure you include the sample sizes at each level (e.g., number of time points per unit, average number of students per school, etc.). </w:t>
      </w:r>
    </w:p>
    <w:p w14:paraId="7906B098" w14:textId="2D0D59A3" w:rsidR="0035475B" w:rsidRDefault="0035475B" w:rsidP="0035475B">
      <w:pPr>
        <w:pStyle w:val="ListParagraph"/>
      </w:pPr>
    </w:p>
    <w:p w14:paraId="743499BA" w14:textId="5DFC01F2" w:rsidR="0035475B" w:rsidRDefault="004102EB" w:rsidP="006C2EB5">
      <w:pPr>
        <w:pStyle w:val="ListParagraph"/>
        <w:ind w:left="0"/>
      </w:pPr>
      <w:r>
        <w:t xml:space="preserve">The PM2.5 data is available for 55 global </w:t>
      </w:r>
      <w:r w:rsidR="00702D32">
        <w:t xml:space="preserve">monitoring </w:t>
      </w:r>
      <w:r>
        <w:t xml:space="preserve">sites through the EPA’s </w:t>
      </w:r>
      <w:proofErr w:type="spellStart"/>
      <w:r>
        <w:t>AirNo</w:t>
      </w:r>
      <w:r w:rsidR="003360C9">
        <w:t>w</w:t>
      </w:r>
      <w:proofErr w:type="spellEnd"/>
      <w:r w:rsidR="003360C9">
        <w:t xml:space="preserve"> program (5), </w:t>
      </w:r>
      <w:r>
        <w:t>some countries have multiple monitoring sites, but the majorit</w:t>
      </w:r>
      <w:r w:rsidR="00537102">
        <w:t xml:space="preserve">y have a single monitoring site. </w:t>
      </w:r>
      <w:r>
        <w:t>The concentrations are available as daily averages, spanni</w:t>
      </w:r>
      <w:r w:rsidR="00C6005D">
        <w:t xml:space="preserve">ng back to 2017 for some sites, </w:t>
      </w:r>
      <w:r>
        <w:t>through</w:t>
      </w:r>
      <w:r>
        <w:t xml:space="preserve"> </w:t>
      </w:r>
      <w:r>
        <w:t>October 2020</w:t>
      </w:r>
      <w:r w:rsidR="00C6005D">
        <w:t xml:space="preserve"> (the PM2.5 data is continuously updated but a </w:t>
      </w:r>
      <w:r w:rsidR="00070F48">
        <w:t xml:space="preserve">compiled </w:t>
      </w:r>
      <w:r w:rsidR="00C6005D">
        <w:t xml:space="preserve">dataset must be </w:t>
      </w:r>
      <w:r w:rsidR="00BF4740">
        <w:t xml:space="preserve">formally </w:t>
      </w:r>
      <w:r w:rsidR="00C6005D">
        <w:t>requested and our most recent request spans only through October 2020)</w:t>
      </w:r>
      <w:r>
        <w:t>. The mobility data is available through Google’s COVID-19 Community Mobility</w:t>
      </w:r>
      <w:r>
        <w:t xml:space="preserve"> </w:t>
      </w:r>
      <w:r>
        <w:t>Reports (6)</w:t>
      </w:r>
      <w:r w:rsidR="00537102">
        <w:t>, and is available from February 2020 through October 2022</w:t>
      </w:r>
      <w:r>
        <w:t>. Per Google, the data charts “movement trends over time by geography, across</w:t>
      </w:r>
      <w:r>
        <w:t xml:space="preserve"> </w:t>
      </w:r>
      <w:r>
        <w:t>different categories of places such as retail and recreation, groceries and pharmacies, parks,</w:t>
      </w:r>
      <w:r>
        <w:t xml:space="preserve"> </w:t>
      </w:r>
      <w:r>
        <w:t>transit stations, workplaces, and residential” during the global COVID-19 pandemic (6).</w:t>
      </w:r>
      <w:r w:rsidR="006C2EB5">
        <w:t xml:space="preserve"> </w:t>
      </w:r>
      <w:r>
        <w:t>The data is presented as a percent change from baseline, where “A baseline day represents a</w:t>
      </w:r>
      <w:r w:rsidR="003360C9">
        <w:t xml:space="preserve"> </w:t>
      </w:r>
      <w:r>
        <w:t xml:space="preserve">normal value for that day of the </w:t>
      </w:r>
      <w:r>
        <w:lastRenderedPageBreak/>
        <w:t>week” prior to the COVID-19 pandemic (7).</w:t>
      </w:r>
      <w:r w:rsidR="00715C41">
        <w:t xml:space="preserve"> For change in residential patterns, the value is presented as a percent change in time spent at residential locations, whereas for workplaces the value represents a percent chan</w:t>
      </w:r>
      <w:r w:rsidR="00660051">
        <w:t>ge in concentration of people</w:t>
      </w:r>
      <w:r w:rsidR="00715C41">
        <w:t xml:space="preserve">. </w:t>
      </w:r>
      <w:r w:rsidR="007665BD">
        <w:t xml:space="preserve">The </w:t>
      </w:r>
      <w:r w:rsidR="00BD0DE9">
        <w:t xml:space="preserve">mobility </w:t>
      </w:r>
      <w:r w:rsidR="007665BD">
        <w:t xml:space="preserve">data is </w:t>
      </w:r>
      <w:r w:rsidR="001D2ADC">
        <w:t>available</w:t>
      </w:r>
      <w:r w:rsidR="007665BD">
        <w:t xml:space="preserve"> at either the city or country level. </w:t>
      </w:r>
      <w:r w:rsidR="00715C41">
        <w:t>We were able to link mobility data</w:t>
      </w:r>
      <w:r w:rsidR="006945EF">
        <w:t xml:space="preserve"> to 37 </w:t>
      </w:r>
      <w:r w:rsidR="00715C41">
        <w:t>PM2.5 monitoring sites</w:t>
      </w:r>
      <w:r w:rsidR="00E5128A">
        <w:t>, for the time period February 2020-October 2020</w:t>
      </w:r>
      <w:r w:rsidR="00715C41">
        <w:t>.</w:t>
      </w:r>
      <w:r w:rsidR="007B7C9A">
        <w:t xml:space="preserve"> </w:t>
      </w:r>
      <w:r w:rsidR="00AC45FA">
        <w:t>We linked data at the highest resolution as was possible for the individual</w:t>
      </w:r>
      <w:r w:rsidR="006D646D">
        <w:t xml:space="preserve"> monitoring site.</w:t>
      </w:r>
      <w:r w:rsidR="00AC45FA">
        <w:t xml:space="preserve"> </w:t>
      </w:r>
      <w:r w:rsidR="006D646D">
        <w:t>For</w:t>
      </w:r>
      <w:r w:rsidR="00AC45FA">
        <w:t xml:space="preserve"> example, if mobility data was available at the city level it was utilized, if not we </w:t>
      </w:r>
      <w:r w:rsidR="006D646D">
        <w:t>utilized the country level values (Table 1)</w:t>
      </w:r>
      <w:r w:rsidR="008A0AEF">
        <w:t>, we recognize this limitation and will discuss further in the limitation section</w:t>
      </w:r>
      <w:r w:rsidR="006D646D">
        <w:t xml:space="preserve">. </w:t>
      </w:r>
      <w:r w:rsidR="002E3EFC">
        <w:t>We also</w:t>
      </w:r>
      <w:r w:rsidR="003360C9">
        <w:t xml:space="preserve"> </w:t>
      </w:r>
      <w:r>
        <w:t>contr</w:t>
      </w:r>
      <w:r>
        <w:t>ol</w:t>
      </w:r>
      <w:r w:rsidR="002E3EFC">
        <w:t>led</w:t>
      </w:r>
      <w:r>
        <w:t xml:space="preserve"> for population density and the interaction of Human Development Index (HDI) with mobility</w:t>
      </w:r>
      <w:r w:rsidR="003360C9">
        <w:t xml:space="preserve"> pattern</w:t>
      </w:r>
      <w:r>
        <w:t xml:space="preserve"> changes</w:t>
      </w:r>
      <w:r>
        <w:t xml:space="preserve"> (both available from the</w:t>
      </w:r>
      <w:r>
        <w:t xml:space="preserve"> World Bank (8)) at the country </w:t>
      </w:r>
      <w:r>
        <w:t>level</w:t>
      </w:r>
      <w:r w:rsidR="002E3EFC">
        <w:t>)</w:t>
      </w:r>
      <w:r w:rsidR="00AD4B82">
        <w:t>.</w:t>
      </w:r>
    </w:p>
    <w:tbl>
      <w:tblPr>
        <w:tblStyle w:val="TableGridLight"/>
        <w:tblW w:w="5035" w:type="dxa"/>
        <w:tblLook w:val="04A0" w:firstRow="1" w:lastRow="0" w:firstColumn="1" w:lastColumn="0" w:noHBand="0" w:noVBand="1"/>
      </w:tblPr>
      <w:tblGrid>
        <w:gridCol w:w="2155"/>
        <w:gridCol w:w="2880"/>
      </w:tblGrid>
      <w:tr w:rsidR="006713CB" w:rsidRPr="003B4D09" w14:paraId="6CEE604C" w14:textId="53448173" w:rsidTr="007A6F54">
        <w:trPr>
          <w:trHeight w:val="300"/>
        </w:trPr>
        <w:tc>
          <w:tcPr>
            <w:tcW w:w="2155" w:type="dxa"/>
            <w:noWrap/>
            <w:hideMark/>
          </w:tcPr>
          <w:p w14:paraId="2BE78BE3" w14:textId="77777777" w:rsidR="006713CB" w:rsidRPr="003B4D09" w:rsidRDefault="006713CB" w:rsidP="006713CB">
            <w:pPr>
              <w:rPr>
                <w:rFonts w:eastAsia="Times New Roman" w:cstheme="minorHAnsi"/>
                <w:b/>
                <w:color w:val="000000"/>
                <w:kern w:val="0"/>
                <w:sz w:val="18"/>
                <w:szCs w:val="18"/>
                <w14:ligatures w14:val="none"/>
              </w:rPr>
            </w:pPr>
            <w:r w:rsidRPr="003B4D09">
              <w:rPr>
                <w:rFonts w:eastAsia="Times New Roman" w:cstheme="minorHAnsi"/>
                <w:b/>
                <w:color w:val="000000"/>
                <w:kern w:val="0"/>
                <w:sz w:val="18"/>
                <w:szCs w:val="18"/>
                <w14:ligatures w14:val="none"/>
              </w:rPr>
              <w:t>PM2.5 Monitoring Site</w:t>
            </w:r>
          </w:p>
        </w:tc>
        <w:tc>
          <w:tcPr>
            <w:tcW w:w="2880" w:type="dxa"/>
          </w:tcPr>
          <w:p w14:paraId="3E44DCA0" w14:textId="01541D8A" w:rsidR="006713CB" w:rsidRPr="003B4D09" w:rsidRDefault="006713CB" w:rsidP="006713CB">
            <w:pPr>
              <w:rPr>
                <w:rFonts w:eastAsia="Times New Roman" w:cstheme="minorHAnsi"/>
                <w:b/>
                <w:color w:val="000000"/>
                <w:kern w:val="0"/>
                <w:sz w:val="18"/>
                <w:szCs w:val="18"/>
                <w14:ligatures w14:val="none"/>
              </w:rPr>
            </w:pPr>
            <w:r w:rsidRPr="003B4D09">
              <w:rPr>
                <w:rFonts w:eastAsia="Times New Roman" w:cstheme="minorHAnsi"/>
                <w:b/>
                <w:color w:val="000000"/>
                <w:kern w:val="0"/>
                <w:sz w:val="18"/>
                <w:szCs w:val="18"/>
                <w14:ligatures w14:val="none"/>
              </w:rPr>
              <w:t>Mobility Site</w:t>
            </w:r>
          </w:p>
        </w:tc>
      </w:tr>
      <w:tr w:rsidR="006713CB" w:rsidRPr="003B4D09" w14:paraId="42F645FA" w14:textId="205E7BC1" w:rsidTr="007A6F54">
        <w:trPr>
          <w:trHeight w:val="315"/>
        </w:trPr>
        <w:tc>
          <w:tcPr>
            <w:tcW w:w="2155" w:type="dxa"/>
            <w:noWrap/>
            <w:hideMark/>
          </w:tcPr>
          <w:p w14:paraId="3610F0E5"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Abu Dhabi</w:t>
            </w:r>
          </w:p>
        </w:tc>
        <w:tc>
          <w:tcPr>
            <w:tcW w:w="2880" w:type="dxa"/>
          </w:tcPr>
          <w:p w14:paraId="4F4FA228" w14:textId="12FDFA6C"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Abu Dhabi</w:t>
            </w:r>
          </w:p>
        </w:tc>
      </w:tr>
      <w:tr w:rsidR="006713CB" w:rsidRPr="003B4D09" w14:paraId="64EF39C7" w14:textId="1669AD93" w:rsidTr="007A6F54">
        <w:trPr>
          <w:trHeight w:val="315"/>
        </w:trPr>
        <w:tc>
          <w:tcPr>
            <w:tcW w:w="2155" w:type="dxa"/>
            <w:noWrap/>
            <w:hideMark/>
          </w:tcPr>
          <w:p w14:paraId="5224B2E1"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Accra</w:t>
            </w:r>
          </w:p>
        </w:tc>
        <w:tc>
          <w:tcPr>
            <w:tcW w:w="2880" w:type="dxa"/>
          </w:tcPr>
          <w:p w14:paraId="2E1A960B" w14:textId="347CB90F"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Accra Metropolitan Area</w:t>
            </w:r>
          </w:p>
        </w:tc>
      </w:tr>
      <w:tr w:rsidR="006713CB" w:rsidRPr="003B4D09" w14:paraId="7139809F" w14:textId="501F84A4" w:rsidTr="007A6F54">
        <w:trPr>
          <w:trHeight w:val="315"/>
        </w:trPr>
        <w:tc>
          <w:tcPr>
            <w:tcW w:w="2155" w:type="dxa"/>
            <w:noWrap/>
            <w:hideMark/>
          </w:tcPr>
          <w:p w14:paraId="3578AAB4"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Almaty</w:t>
            </w:r>
          </w:p>
        </w:tc>
        <w:tc>
          <w:tcPr>
            <w:tcW w:w="2880" w:type="dxa"/>
          </w:tcPr>
          <w:p w14:paraId="51C6A4FC" w14:textId="2FD43FCA"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Kazakhstan</w:t>
            </w:r>
          </w:p>
        </w:tc>
      </w:tr>
      <w:tr w:rsidR="006713CB" w:rsidRPr="003B4D09" w14:paraId="418CF5DD" w14:textId="30524952" w:rsidTr="007A6F54">
        <w:trPr>
          <w:trHeight w:val="315"/>
        </w:trPr>
        <w:tc>
          <w:tcPr>
            <w:tcW w:w="2155" w:type="dxa"/>
            <w:noWrap/>
            <w:hideMark/>
          </w:tcPr>
          <w:p w14:paraId="47988757"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Amman</w:t>
            </w:r>
          </w:p>
        </w:tc>
        <w:tc>
          <w:tcPr>
            <w:tcW w:w="2880" w:type="dxa"/>
          </w:tcPr>
          <w:p w14:paraId="3A21DA41" w14:textId="7CA00793"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Amman Metropolitan Area</w:t>
            </w:r>
          </w:p>
        </w:tc>
      </w:tr>
      <w:tr w:rsidR="006713CB" w:rsidRPr="003B4D09" w14:paraId="5EAFF7E6" w14:textId="513630FE" w:rsidTr="007A6F54">
        <w:trPr>
          <w:trHeight w:val="315"/>
        </w:trPr>
        <w:tc>
          <w:tcPr>
            <w:tcW w:w="2155" w:type="dxa"/>
            <w:noWrap/>
            <w:hideMark/>
          </w:tcPr>
          <w:p w14:paraId="1FCEE18F"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Baghdad</w:t>
            </w:r>
          </w:p>
        </w:tc>
        <w:tc>
          <w:tcPr>
            <w:tcW w:w="2880" w:type="dxa"/>
          </w:tcPr>
          <w:p w14:paraId="15B073E7" w14:textId="224F9D22"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Iraq</w:t>
            </w:r>
          </w:p>
        </w:tc>
      </w:tr>
      <w:tr w:rsidR="006713CB" w:rsidRPr="003B4D09" w14:paraId="669340AB" w14:textId="235B78C6" w:rsidTr="007A6F54">
        <w:trPr>
          <w:trHeight w:val="315"/>
        </w:trPr>
        <w:tc>
          <w:tcPr>
            <w:tcW w:w="2155" w:type="dxa"/>
            <w:noWrap/>
            <w:hideMark/>
          </w:tcPr>
          <w:p w14:paraId="0EF84C49"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Bamako</w:t>
            </w:r>
          </w:p>
        </w:tc>
        <w:tc>
          <w:tcPr>
            <w:tcW w:w="2880" w:type="dxa"/>
          </w:tcPr>
          <w:p w14:paraId="1A39B293" w14:textId="634BF3D9"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Bamako Metropolitan Area</w:t>
            </w:r>
          </w:p>
        </w:tc>
      </w:tr>
      <w:tr w:rsidR="006713CB" w:rsidRPr="003B4D09" w14:paraId="31E88568" w14:textId="19347DBA" w:rsidTr="007A6F54">
        <w:trPr>
          <w:trHeight w:val="315"/>
        </w:trPr>
        <w:tc>
          <w:tcPr>
            <w:tcW w:w="2155" w:type="dxa"/>
            <w:noWrap/>
            <w:hideMark/>
          </w:tcPr>
          <w:p w14:paraId="306BC81B"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Bogota</w:t>
            </w:r>
          </w:p>
        </w:tc>
        <w:tc>
          <w:tcPr>
            <w:tcW w:w="2880" w:type="dxa"/>
          </w:tcPr>
          <w:p w14:paraId="1CF393D8" w14:textId="73D6A525"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Bogota</w:t>
            </w:r>
          </w:p>
        </w:tc>
      </w:tr>
      <w:tr w:rsidR="006713CB" w:rsidRPr="003B4D09" w14:paraId="1B69398A" w14:textId="4EE04A37" w:rsidTr="007A6F54">
        <w:trPr>
          <w:trHeight w:val="315"/>
        </w:trPr>
        <w:tc>
          <w:tcPr>
            <w:tcW w:w="2155" w:type="dxa"/>
            <w:noWrap/>
            <w:hideMark/>
          </w:tcPr>
          <w:p w14:paraId="4097D23D"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Buenos Aires</w:t>
            </w:r>
          </w:p>
        </w:tc>
        <w:tc>
          <w:tcPr>
            <w:tcW w:w="2880" w:type="dxa"/>
          </w:tcPr>
          <w:p w14:paraId="67152AFF" w14:textId="0C8A6A11"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Buenos Aires</w:t>
            </w:r>
          </w:p>
        </w:tc>
      </w:tr>
      <w:tr w:rsidR="006713CB" w:rsidRPr="003B4D09" w14:paraId="7AF32C77" w14:textId="513799B7" w:rsidTr="007A6F54">
        <w:trPr>
          <w:trHeight w:val="315"/>
        </w:trPr>
        <w:tc>
          <w:tcPr>
            <w:tcW w:w="2155" w:type="dxa"/>
            <w:noWrap/>
            <w:hideMark/>
          </w:tcPr>
          <w:p w14:paraId="2A903FFA"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Chennai</w:t>
            </w:r>
          </w:p>
        </w:tc>
        <w:tc>
          <w:tcPr>
            <w:tcW w:w="2880" w:type="dxa"/>
          </w:tcPr>
          <w:p w14:paraId="7B7FEC61" w14:textId="3513B7C3"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Chennai</w:t>
            </w:r>
          </w:p>
        </w:tc>
      </w:tr>
      <w:tr w:rsidR="006713CB" w:rsidRPr="003B4D09" w14:paraId="00FBF22E" w14:textId="6B056719" w:rsidTr="007A6F54">
        <w:trPr>
          <w:trHeight w:val="315"/>
        </w:trPr>
        <w:tc>
          <w:tcPr>
            <w:tcW w:w="2155" w:type="dxa"/>
            <w:noWrap/>
            <w:hideMark/>
          </w:tcPr>
          <w:p w14:paraId="699B2C36"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Colombo</w:t>
            </w:r>
          </w:p>
        </w:tc>
        <w:tc>
          <w:tcPr>
            <w:tcW w:w="2880" w:type="dxa"/>
          </w:tcPr>
          <w:p w14:paraId="05F5DF40" w14:textId="507D8669"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Sri Lanka</w:t>
            </w:r>
          </w:p>
        </w:tc>
      </w:tr>
      <w:tr w:rsidR="006713CB" w:rsidRPr="003B4D09" w14:paraId="2FD30F20" w14:textId="452FB98C" w:rsidTr="007A6F54">
        <w:trPr>
          <w:trHeight w:val="315"/>
        </w:trPr>
        <w:tc>
          <w:tcPr>
            <w:tcW w:w="2155" w:type="dxa"/>
            <w:noWrap/>
            <w:hideMark/>
          </w:tcPr>
          <w:p w14:paraId="30906DDA"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Conakry</w:t>
            </w:r>
          </w:p>
        </w:tc>
        <w:tc>
          <w:tcPr>
            <w:tcW w:w="2880" w:type="dxa"/>
          </w:tcPr>
          <w:p w14:paraId="57E6937B" w14:textId="7A9A4A6D"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Guinea-Bissau</w:t>
            </w:r>
          </w:p>
        </w:tc>
      </w:tr>
      <w:tr w:rsidR="006713CB" w:rsidRPr="003B4D09" w14:paraId="51DC816D" w14:textId="136C6D61" w:rsidTr="007A6F54">
        <w:trPr>
          <w:trHeight w:val="315"/>
        </w:trPr>
        <w:tc>
          <w:tcPr>
            <w:tcW w:w="2155" w:type="dxa"/>
            <w:noWrap/>
            <w:hideMark/>
          </w:tcPr>
          <w:p w14:paraId="1CBE76B3"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Dhahran</w:t>
            </w:r>
          </w:p>
        </w:tc>
        <w:tc>
          <w:tcPr>
            <w:tcW w:w="2880" w:type="dxa"/>
          </w:tcPr>
          <w:p w14:paraId="063733EC" w14:textId="0C26211A"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Nepal</w:t>
            </w:r>
          </w:p>
        </w:tc>
      </w:tr>
      <w:tr w:rsidR="006713CB" w:rsidRPr="003B4D09" w14:paraId="7963E862" w14:textId="2138E081" w:rsidTr="007A6F54">
        <w:trPr>
          <w:trHeight w:val="315"/>
        </w:trPr>
        <w:tc>
          <w:tcPr>
            <w:tcW w:w="2155" w:type="dxa"/>
            <w:noWrap/>
            <w:hideMark/>
          </w:tcPr>
          <w:p w14:paraId="197D5CF5"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Dhaka</w:t>
            </w:r>
          </w:p>
        </w:tc>
        <w:tc>
          <w:tcPr>
            <w:tcW w:w="2880" w:type="dxa"/>
          </w:tcPr>
          <w:p w14:paraId="4FCC81BC" w14:textId="2DD08C55"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Bangladesh</w:t>
            </w:r>
          </w:p>
        </w:tc>
      </w:tr>
      <w:tr w:rsidR="006713CB" w:rsidRPr="003B4D09" w14:paraId="54534455" w14:textId="6CFFA03A" w:rsidTr="007A6F54">
        <w:trPr>
          <w:trHeight w:val="315"/>
        </w:trPr>
        <w:tc>
          <w:tcPr>
            <w:tcW w:w="2155" w:type="dxa"/>
            <w:noWrap/>
            <w:hideMark/>
          </w:tcPr>
          <w:p w14:paraId="3B129E64"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Dubai</w:t>
            </w:r>
          </w:p>
        </w:tc>
        <w:tc>
          <w:tcPr>
            <w:tcW w:w="2880" w:type="dxa"/>
          </w:tcPr>
          <w:p w14:paraId="7063D621" w14:textId="34A460F6"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Dubai</w:t>
            </w:r>
          </w:p>
        </w:tc>
      </w:tr>
      <w:tr w:rsidR="006713CB" w:rsidRPr="003B4D09" w14:paraId="05BE268C" w14:textId="575E243F" w:rsidTr="007A6F54">
        <w:trPr>
          <w:trHeight w:val="315"/>
        </w:trPr>
        <w:tc>
          <w:tcPr>
            <w:tcW w:w="2155" w:type="dxa"/>
            <w:noWrap/>
            <w:hideMark/>
          </w:tcPr>
          <w:p w14:paraId="2DAA9FB8"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Dushanbe</w:t>
            </w:r>
          </w:p>
        </w:tc>
        <w:tc>
          <w:tcPr>
            <w:tcW w:w="2880" w:type="dxa"/>
          </w:tcPr>
          <w:p w14:paraId="337F4C3F" w14:textId="21288D2B"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Dushanbe Metropolitan Area</w:t>
            </w:r>
          </w:p>
        </w:tc>
      </w:tr>
      <w:tr w:rsidR="006713CB" w:rsidRPr="003B4D09" w14:paraId="7703A95A" w14:textId="3B144532" w:rsidTr="007A6F54">
        <w:trPr>
          <w:trHeight w:val="315"/>
        </w:trPr>
        <w:tc>
          <w:tcPr>
            <w:tcW w:w="2155" w:type="dxa"/>
            <w:noWrap/>
            <w:hideMark/>
          </w:tcPr>
          <w:p w14:paraId="325EB99E"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Embassy Kathmandu</w:t>
            </w:r>
          </w:p>
        </w:tc>
        <w:tc>
          <w:tcPr>
            <w:tcW w:w="2880" w:type="dxa"/>
          </w:tcPr>
          <w:p w14:paraId="5B278EF6" w14:textId="2BBC6F42"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Nepal</w:t>
            </w:r>
          </w:p>
        </w:tc>
      </w:tr>
      <w:tr w:rsidR="006713CB" w:rsidRPr="003B4D09" w14:paraId="577D5D6F" w14:textId="4800A3B4" w:rsidTr="007A6F54">
        <w:trPr>
          <w:trHeight w:val="315"/>
        </w:trPr>
        <w:tc>
          <w:tcPr>
            <w:tcW w:w="2155" w:type="dxa"/>
            <w:noWrap/>
            <w:hideMark/>
          </w:tcPr>
          <w:p w14:paraId="1EEF2579"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Guatemala City</w:t>
            </w:r>
          </w:p>
        </w:tc>
        <w:tc>
          <w:tcPr>
            <w:tcW w:w="2880" w:type="dxa"/>
          </w:tcPr>
          <w:p w14:paraId="18CD726A" w14:textId="7704F923"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Guatemala City</w:t>
            </w:r>
          </w:p>
        </w:tc>
      </w:tr>
      <w:tr w:rsidR="006713CB" w:rsidRPr="003B4D09" w14:paraId="20A78205" w14:textId="005463FF" w:rsidTr="007A6F54">
        <w:trPr>
          <w:trHeight w:val="315"/>
        </w:trPr>
        <w:tc>
          <w:tcPr>
            <w:tcW w:w="2155" w:type="dxa"/>
            <w:noWrap/>
            <w:hideMark/>
          </w:tcPr>
          <w:p w14:paraId="7A72C975"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Hyderabad</w:t>
            </w:r>
          </w:p>
        </w:tc>
        <w:tc>
          <w:tcPr>
            <w:tcW w:w="2880" w:type="dxa"/>
          </w:tcPr>
          <w:p w14:paraId="6A13B6B9" w14:textId="14D69C78"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Hyderabad</w:t>
            </w:r>
          </w:p>
        </w:tc>
      </w:tr>
      <w:tr w:rsidR="006713CB" w:rsidRPr="003B4D09" w14:paraId="141CF266" w14:textId="781AC1E7" w:rsidTr="007A6F54">
        <w:trPr>
          <w:trHeight w:val="315"/>
        </w:trPr>
        <w:tc>
          <w:tcPr>
            <w:tcW w:w="2155" w:type="dxa"/>
            <w:noWrap/>
            <w:hideMark/>
          </w:tcPr>
          <w:p w14:paraId="3D26C9EA"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Islamabad</w:t>
            </w:r>
          </w:p>
        </w:tc>
        <w:tc>
          <w:tcPr>
            <w:tcW w:w="2880" w:type="dxa"/>
          </w:tcPr>
          <w:p w14:paraId="206A400A" w14:textId="083D58AD"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Islamabad Metropolitan Area</w:t>
            </w:r>
          </w:p>
        </w:tc>
      </w:tr>
      <w:tr w:rsidR="006713CB" w:rsidRPr="003B4D09" w14:paraId="221D19BC" w14:textId="191408CD" w:rsidTr="007A6F54">
        <w:trPr>
          <w:trHeight w:val="315"/>
        </w:trPr>
        <w:tc>
          <w:tcPr>
            <w:tcW w:w="2155" w:type="dxa"/>
            <w:noWrap/>
            <w:hideMark/>
          </w:tcPr>
          <w:p w14:paraId="52E12389"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Jakarta Central</w:t>
            </w:r>
          </w:p>
        </w:tc>
        <w:tc>
          <w:tcPr>
            <w:tcW w:w="2880" w:type="dxa"/>
          </w:tcPr>
          <w:p w14:paraId="3465B212" w14:textId="347F975A"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Jakarta</w:t>
            </w:r>
          </w:p>
        </w:tc>
      </w:tr>
      <w:tr w:rsidR="006713CB" w:rsidRPr="003B4D09" w14:paraId="060549B1" w14:textId="61F95ABA" w:rsidTr="007A6F54">
        <w:trPr>
          <w:trHeight w:val="315"/>
        </w:trPr>
        <w:tc>
          <w:tcPr>
            <w:tcW w:w="2155" w:type="dxa"/>
            <w:noWrap/>
            <w:hideMark/>
          </w:tcPr>
          <w:p w14:paraId="785C3FB7"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Jakarta South</w:t>
            </w:r>
          </w:p>
        </w:tc>
        <w:tc>
          <w:tcPr>
            <w:tcW w:w="2880" w:type="dxa"/>
          </w:tcPr>
          <w:p w14:paraId="43D1E429" w14:textId="1DDE1B82"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Jakarta</w:t>
            </w:r>
          </w:p>
        </w:tc>
      </w:tr>
      <w:tr w:rsidR="006713CB" w:rsidRPr="003B4D09" w14:paraId="6232DBB0" w14:textId="31ED2668" w:rsidTr="007A6F54">
        <w:trPr>
          <w:trHeight w:val="315"/>
        </w:trPr>
        <w:tc>
          <w:tcPr>
            <w:tcW w:w="2155" w:type="dxa"/>
            <w:noWrap/>
            <w:hideMark/>
          </w:tcPr>
          <w:p w14:paraId="646718E4"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Kabul</w:t>
            </w:r>
          </w:p>
        </w:tc>
        <w:tc>
          <w:tcPr>
            <w:tcW w:w="2880" w:type="dxa"/>
          </w:tcPr>
          <w:p w14:paraId="15CED1DB" w14:textId="6CD20C76"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Kabul Metropolitan Area</w:t>
            </w:r>
          </w:p>
        </w:tc>
      </w:tr>
      <w:tr w:rsidR="006713CB" w:rsidRPr="003B4D09" w14:paraId="3EEB36E3" w14:textId="4FAF68DF" w:rsidTr="007A6F54">
        <w:trPr>
          <w:trHeight w:val="315"/>
        </w:trPr>
        <w:tc>
          <w:tcPr>
            <w:tcW w:w="2155" w:type="dxa"/>
            <w:noWrap/>
            <w:hideMark/>
          </w:tcPr>
          <w:p w14:paraId="55692CDE"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Kampala</w:t>
            </w:r>
          </w:p>
        </w:tc>
        <w:tc>
          <w:tcPr>
            <w:tcW w:w="2880" w:type="dxa"/>
          </w:tcPr>
          <w:p w14:paraId="7E93CBF1" w14:textId="5134FA96"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Kampala</w:t>
            </w:r>
          </w:p>
        </w:tc>
      </w:tr>
      <w:tr w:rsidR="006713CB" w:rsidRPr="003B4D09" w14:paraId="507824E4" w14:textId="03B7004D" w:rsidTr="007A6F54">
        <w:trPr>
          <w:trHeight w:val="315"/>
        </w:trPr>
        <w:tc>
          <w:tcPr>
            <w:tcW w:w="2155" w:type="dxa"/>
            <w:noWrap/>
            <w:hideMark/>
          </w:tcPr>
          <w:p w14:paraId="457C6694"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Karachi</w:t>
            </w:r>
          </w:p>
        </w:tc>
        <w:tc>
          <w:tcPr>
            <w:tcW w:w="2880" w:type="dxa"/>
          </w:tcPr>
          <w:p w14:paraId="39D9CE34" w14:textId="787E1FBC"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Karachi Metropolitan Area</w:t>
            </w:r>
          </w:p>
        </w:tc>
      </w:tr>
      <w:tr w:rsidR="006713CB" w:rsidRPr="003B4D09" w14:paraId="6CF7A8FD" w14:textId="0F3C5263" w:rsidTr="007A6F54">
        <w:trPr>
          <w:trHeight w:val="315"/>
        </w:trPr>
        <w:tc>
          <w:tcPr>
            <w:tcW w:w="2155" w:type="dxa"/>
            <w:noWrap/>
            <w:hideMark/>
          </w:tcPr>
          <w:p w14:paraId="31D25445"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Kolkata</w:t>
            </w:r>
          </w:p>
        </w:tc>
        <w:tc>
          <w:tcPr>
            <w:tcW w:w="2880" w:type="dxa"/>
          </w:tcPr>
          <w:p w14:paraId="6C80D075" w14:textId="199467EF"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Kolkata</w:t>
            </w:r>
          </w:p>
        </w:tc>
      </w:tr>
      <w:tr w:rsidR="006713CB" w:rsidRPr="003B4D09" w14:paraId="6B2E13D6" w14:textId="38749B0D" w:rsidTr="007A6F54">
        <w:trPr>
          <w:trHeight w:val="315"/>
        </w:trPr>
        <w:tc>
          <w:tcPr>
            <w:tcW w:w="2155" w:type="dxa"/>
            <w:noWrap/>
            <w:hideMark/>
          </w:tcPr>
          <w:p w14:paraId="483D1A7D"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Kuwait City</w:t>
            </w:r>
          </w:p>
        </w:tc>
        <w:tc>
          <w:tcPr>
            <w:tcW w:w="2880" w:type="dxa"/>
          </w:tcPr>
          <w:p w14:paraId="7650FE73" w14:textId="6D640062"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Kuwait City Metropolitan Area</w:t>
            </w:r>
          </w:p>
        </w:tc>
      </w:tr>
      <w:tr w:rsidR="006713CB" w:rsidRPr="003B4D09" w14:paraId="0797C1A9" w14:textId="2DADD8AE" w:rsidTr="007A6F54">
        <w:trPr>
          <w:trHeight w:val="315"/>
        </w:trPr>
        <w:tc>
          <w:tcPr>
            <w:tcW w:w="2155" w:type="dxa"/>
            <w:noWrap/>
            <w:hideMark/>
          </w:tcPr>
          <w:p w14:paraId="7F47FBE7"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Lahore</w:t>
            </w:r>
          </w:p>
        </w:tc>
        <w:tc>
          <w:tcPr>
            <w:tcW w:w="2880" w:type="dxa"/>
          </w:tcPr>
          <w:p w14:paraId="2297C82E" w14:textId="306F9129"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Lahore Metropolitan Area</w:t>
            </w:r>
          </w:p>
        </w:tc>
      </w:tr>
      <w:tr w:rsidR="006713CB" w:rsidRPr="003B4D09" w14:paraId="7CE259F6" w14:textId="1B468D31" w:rsidTr="007A6F54">
        <w:trPr>
          <w:trHeight w:val="315"/>
        </w:trPr>
        <w:tc>
          <w:tcPr>
            <w:tcW w:w="2155" w:type="dxa"/>
            <w:noWrap/>
            <w:hideMark/>
          </w:tcPr>
          <w:p w14:paraId="1B85F3B0"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Lima</w:t>
            </w:r>
          </w:p>
        </w:tc>
        <w:tc>
          <w:tcPr>
            <w:tcW w:w="2880" w:type="dxa"/>
          </w:tcPr>
          <w:p w14:paraId="4C8A4119" w14:textId="4320988D"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Lima Region</w:t>
            </w:r>
          </w:p>
        </w:tc>
      </w:tr>
      <w:tr w:rsidR="006713CB" w:rsidRPr="003B4D09" w14:paraId="06CFEE75" w14:textId="22D4C30C" w:rsidTr="007A6F54">
        <w:trPr>
          <w:trHeight w:val="315"/>
        </w:trPr>
        <w:tc>
          <w:tcPr>
            <w:tcW w:w="2155" w:type="dxa"/>
            <w:noWrap/>
            <w:hideMark/>
          </w:tcPr>
          <w:p w14:paraId="71BD50C1"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Manama</w:t>
            </w:r>
          </w:p>
        </w:tc>
        <w:tc>
          <w:tcPr>
            <w:tcW w:w="2880" w:type="dxa"/>
          </w:tcPr>
          <w:p w14:paraId="0ECD61DE" w14:textId="54893E13"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Bahrain</w:t>
            </w:r>
          </w:p>
        </w:tc>
      </w:tr>
      <w:tr w:rsidR="006713CB" w:rsidRPr="003B4D09" w14:paraId="32864F9A" w14:textId="0584E569" w:rsidTr="007A6F54">
        <w:trPr>
          <w:trHeight w:val="315"/>
        </w:trPr>
        <w:tc>
          <w:tcPr>
            <w:tcW w:w="2155" w:type="dxa"/>
            <w:noWrap/>
            <w:hideMark/>
          </w:tcPr>
          <w:p w14:paraId="60FBAF70"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Mumbai</w:t>
            </w:r>
          </w:p>
        </w:tc>
        <w:tc>
          <w:tcPr>
            <w:tcW w:w="2880" w:type="dxa"/>
          </w:tcPr>
          <w:p w14:paraId="6F473DB4" w14:textId="301F4B7A"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Mumbai</w:t>
            </w:r>
          </w:p>
        </w:tc>
      </w:tr>
      <w:tr w:rsidR="006713CB" w:rsidRPr="003B4D09" w14:paraId="1A9FC5CD" w14:textId="7B307BDC" w:rsidTr="007A6F54">
        <w:trPr>
          <w:trHeight w:val="315"/>
        </w:trPr>
        <w:tc>
          <w:tcPr>
            <w:tcW w:w="2155" w:type="dxa"/>
            <w:noWrap/>
            <w:hideMark/>
          </w:tcPr>
          <w:p w14:paraId="112A30D3"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lastRenderedPageBreak/>
              <w:t>New Delhi</w:t>
            </w:r>
          </w:p>
        </w:tc>
        <w:tc>
          <w:tcPr>
            <w:tcW w:w="2880" w:type="dxa"/>
          </w:tcPr>
          <w:p w14:paraId="6123F823" w14:textId="3B9F425D"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New Delhi</w:t>
            </w:r>
          </w:p>
        </w:tc>
      </w:tr>
      <w:tr w:rsidR="006713CB" w:rsidRPr="003B4D09" w14:paraId="59C42854" w14:textId="16ADC5CA" w:rsidTr="007A6F54">
        <w:trPr>
          <w:trHeight w:val="315"/>
        </w:trPr>
        <w:tc>
          <w:tcPr>
            <w:tcW w:w="2155" w:type="dxa"/>
            <w:noWrap/>
            <w:hideMark/>
          </w:tcPr>
          <w:p w14:paraId="46AF9A6D" w14:textId="77777777" w:rsidR="006713CB" w:rsidRPr="003B4D09" w:rsidRDefault="006713CB" w:rsidP="006713CB">
            <w:pPr>
              <w:rPr>
                <w:rFonts w:eastAsia="Times New Roman" w:cstheme="minorHAnsi"/>
                <w:color w:val="000000"/>
                <w:kern w:val="0"/>
                <w:sz w:val="18"/>
                <w:szCs w:val="18"/>
                <w14:ligatures w14:val="none"/>
              </w:rPr>
            </w:pPr>
            <w:proofErr w:type="spellStart"/>
            <w:r w:rsidRPr="003B4D09">
              <w:rPr>
                <w:rFonts w:eastAsia="Times New Roman" w:cstheme="minorHAnsi"/>
                <w:color w:val="000000"/>
                <w:kern w:val="0"/>
                <w:sz w:val="18"/>
                <w:szCs w:val="18"/>
                <w14:ligatures w14:val="none"/>
              </w:rPr>
              <w:t>Nur</w:t>
            </w:r>
            <w:proofErr w:type="spellEnd"/>
            <w:r w:rsidRPr="003B4D09">
              <w:rPr>
                <w:rFonts w:eastAsia="Times New Roman" w:cstheme="minorHAnsi"/>
                <w:color w:val="000000"/>
                <w:kern w:val="0"/>
                <w:sz w:val="18"/>
                <w:szCs w:val="18"/>
                <w14:ligatures w14:val="none"/>
              </w:rPr>
              <w:t>-Sultan</w:t>
            </w:r>
          </w:p>
        </w:tc>
        <w:tc>
          <w:tcPr>
            <w:tcW w:w="2880" w:type="dxa"/>
          </w:tcPr>
          <w:p w14:paraId="7E498A58" w14:textId="67C1C8B8"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Kazakhstan</w:t>
            </w:r>
          </w:p>
        </w:tc>
      </w:tr>
      <w:tr w:rsidR="006713CB" w:rsidRPr="003B4D09" w14:paraId="4FDE3571" w14:textId="6E9A2D2B" w:rsidTr="007A6F54">
        <w:trPr>
          <w:trHeight w:val="315"/>
        </w:trPr>
        <w:tc>
          <w:tcPr>
            <w:tcW w:w="2155" w:type="dxa"/>
            <w:noWrap/>
            <w:hideMark/>
          </w:tcPr>
          <w:p w14:paraId="61608BC0"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Peshawar</w:t>
            </w:r>
          </w:p>
        </w:tc>
        <w:tc>
          <w:tcPr>
            <w:tcW w:w="2880" w:type="dxa"/>
          </w:tcPr>
          <w:p w14:paraId="4124FED6" w14:textId="103E1A02"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Peshawar Metropolitan Area</w:t>
            </w:r>
          </w:p>
        </w:tc>
      </w:tr>
      <w:tr w:rsidR="006713CB" w:rsidRPr="003B4D09" w14:paraId="25CA5A65" w14:textId="102C3F21" w:rsidTr="007A6F54">
        <w:trPr>
          <w:trHeight w:val="315"/>
        </w:trPr>
        <w:tc>
          <w:tcPr>
            <w:tcW w:w="2155" w:type="dxa"/>
            <w:noWrap/>
            <w:hideMark/>
          </w:tcPr>
          <w:p w14:paraId="2F5D3516"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San Jose</w:t>
            </w:r>
          </w:p>
        </w:tc>
        <w:tc>
          <w:tcPr>
            <w:tcW w:w="2880" w:type="dxa"/>
          </w:tcPr>
          <w:p w14:paraId="1B24A71C" w14:textId="39786611"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Costa Rica</w:t>
            </w:r>
          </w:p>
        </w:tc>
      </w:tr>
      <w:tr w:rsidR="006713CB" w:rsidRPr="003B4D09" w14:paraId="4D8AA41A" w14:textId="70DB05A5" w:rsidTr="007A6F54">
        <w:trPr>
          <w:trHeight w:val="315"/>
        </w:trPr>
        <w:tc>
          <w:tcPr>
            <w:tcW w:w="2155" w:type="dxa"/>
            <w:noWrap/>
            <w:hideMark/>
          </w:tcPr>
          <w:p w14:paraId="4FECE143"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Sarajevo</w:t>
            </w:r>
          </w:p>
        </w:tc>
        <w:tc>
          <w:tcPr>
            <w:tcW w:w="2880" w:type="dxa"/>
          </w:tcPr>
          <w:p w14:paraId="69816BAC" w14:textId="5AF05B83"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Bosnia and Herzegovina</w:t>
            </w:r>
          </w:p>
        </w:tc>
      </w:tr>
      <w:tr w:rsidR="006713CB" w:rsidRPr="003B4D09" w14:paraId="29588968" w14:textId="196FCE9C" w:rsidTr="007A6F54">
        <w:trPr>
          <w:trHeight w:val="315"/>
        </w:trPr>
        <w:tc>
          <w:tcPr>
            <w:tcW w:w="2155" w:type="dxa"/>
            <w:noWrap/>
            <w:hideMark/>
          </w:tcPr>
          <w:p w14:paraId="04B831BB"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Ulaanbaatar</w:t>
            </w:r>
          </w:p>
        </w:tc>
        <w:tc>
          <w:tcPr>
            <w:tcW w:w="2880" w:type="dxa"/>
          </w:tcPr>
          <w:p w14:paraId="717F3FA2" w14:textId="51F3996A"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Ulaanbaatar</w:t>
            </w:r>
          </w:p>
        </w:tc>
      </w:tr>
      <w:tr w:rsidR="006713CB" w:rsidRPr="003B4D09" w14:paraId="06616BC4" w14:textId="0A070E55" w:rsidTr="007A6F54">
        <w:trPr>
          <w:trHeight w:val="315"/>
        </w:trPr>
        <w:tc>
          <w:tcPr>
            <w:tcW w:w="2155" w:type="dxa"/>
            <w:noWrap/>
            <w:hideMark/>
          </w:tcPr>
          <w:p w14:paraId="37E925F1" w14:textId="77777777"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 xml:space="preserve">Kabul </w:t>
            </w:r>
          </w:p>
        </w:tc>
        <w:tc>
          <w:tcPr>
            <w:tcW w:w="2880" w:type="dxa"/>
          </w:tcPr>
          <w:p w14:paraId="0CC92CB4" w14:textId="095155C5" w:rsidR="006713CB" w:rsidRPr="003B4D09" w:rsidRDefault="006713CB" w:rsidP="006713CB">
            <w:pPr>
              <w:rPr>
                <w:rFonts w:eastAsia="Times New Roman" w:cstheme="minorHAnsi"/>
                <w:color w:val="000000"/>
                <w:kern w:val="0"/>
                <w:sz w:val="18"/>
                <w:szCs w:val="18"/>
                <w14:ligatures w14:val="none"/>
              </w:rPr>
            </w:pPr>
            <w:r w:rsidRPr="003B4D09">
              <w:rPr>
                <w:rFonts w:eastAsia="Times New Roman" w:cstheme="minorHAnsi"/>
                <w:color w:val="000000"/>
                <w:kern w:val="0"/>
                <w:sz w:val="18"/>
                <w:szCs w:val="18"/>
                <w14:ligatures w14:val="none"/>
              </w:rPr>
              <w:t>Kabul Metropolitan Area</w:t>
            </w:r>
          </w:p>
        </w:tc>
      </w:tr>
    </w:tbl>
    <w:p w14:paraId="0D64B4E9" w14:textId="6D19D162" w:rsidR="003B4D09" w:rsidRDefault="003B4D09" w:rsidP="003B4D09"/>
    <w:p w14:paraId="130E8974" w14:textId="77777777" w:rsidR="000A79F7" w:rsidRDefault="000A79F7">
      <w:r>
        <w:t xml:space="preserve">3) Two publication ready plots of your data. Publication ready means having things like nicely labeled axes and captions. </w:t>
      </w:r>
    </w:p>
    <w:p w14:paraId="5C25E459" w14:textId="61DB3F77" w:rsidR="00914D97" w:rsidRDefault="00914D97">
      <w:commentRangeStart w:id="3"/>
      <w:r>
        <w:rPr>
          <w:noProof/>
        </w:rPr>
        <w:drawing>
          <wp:inline distT="0" distB="0" distL="0" distR="0" wp14:anchorId="066A6D18" wp14:editId="5352CF29">
            <wp:extent cx="6330950" cy="4157951"/>
            <wp:effectExtent l="0" t="0" r="0" b="0"/>
            <wp:docPr id="1523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176" cy="4165324"/>
                    </a:xfrm>
                    <a:prstGeom prst="rect">
                      <a:avLst/>
                    </a:prstGeom>
                    <a:noFill/>
                  </pic:spPr>
                </pic:pic>
              </a:graphicData>
            </a:graphic>
          </wp:inline>
        </w:drawing>
      </w:r>
      <w:commentRangeEnd w:id="3"/>
      <w:r w:rsidR="00C34A69">
        <w:rPr>
          <w:rStyle w:val="CommentReference"/>
        </w:rPr>
        <w:commentReference w:id="3"/>
      </w:r>
    </w:p>
    <w:p w14:paraId="6E4982A6" w14:textId="77777777" w:rsidR="00510ECA" w:rsidRDefault="00510ECA"/>
    <w:p w14:paraId="6F8F1918" w14:textId="27CD5A0F" w:rsidR="00510ECA" w:rsidRDefault="00526579">
      <w:r>
        <w:rPr>
          <w:noProof/>
        </w:rPr>
        <w:lastRenderedPageBreak/>
        <w:drawing>
          <wp:inline distT="0" distB="0" distL="0" distR="0" wp14:anchorId="2BF4C5C2" wp14:editId="215C091E">
            <wp:extent cx="6866890" cy="4280380"/>
            <wp:effectExtent l="0" t="0" r="0" b="6350"/>
            <wp:docPr id="1875277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4569" cy="4303867"/>
                    </a:xfrm>
                    <a:prstGeom prst="rect">
                      <a:avLst/>
                    </a:prstGeom>
                    <a:noFill/>
                  </pic:spPr>
                </pic:pic>
              </a:graphicData>
            </a:graphic>
          </wp:inline>
        </w:drawing>
      </w:r>
    </w:p>
    <w:p w14:paraId="49D67112" w14:textId="77777777" w:rsidR="00510ECA" w:rsidRDefault="00510ECA"/>
    <w:p w14:paraId="57AFCF30" w14:textId="77777777" w:rsidR="000A79F7" w:rsidRDefault="000A79F7">
      <w:r>
        <w:t xml:space="preserve">4) An analysis of the variability in your data (primarily your outcome). You can do this by fitting an unconditional model (one without any extraneous covariates) to obtain a variance decomposition (allowing for ICC calculations and the like). These unconditional models are good starting point for getting a handle on where variation is, and what your data structure is. </w:t>
      </w:r>
    </w:p>
    <w:p w14:paraId="026ABF21" w14:textId="440DA8C0" w:rsidR="007C1B25" w:rsidRDefault="007C1B25">
      <w:r w:rsidRPr="007C1B25">
        <w:rPr>
          <w:noProof/>
        </w:rPr>
        <w:drawing>
          <wp:inline distT="0" distB="0" distL="0" distR="0" wp14:anchorId="5B0FA7E3" wp14:editId="688C43DC">
            <wp:extent cx="3771900" cy="2527835"/>
            <wp:effectExtent l="0" t="0" r="0" b="6350"/>
            <wp:docPr id="1064791222"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91222" name="Picture 1" descr="A white sheet with black text and numbers&#10;&#10;Description automatically generated"/>
                    <pic:cNvPicPr/>
                  </pic:nvPicPr>
                  <pic:blipFill>
                    <a:blip r:embed="rId9"/>
                    <a:stretch>
                      <a:fillRect/>
                    </a:stretch>
                  </pic:blipFill>
                  <pic:spPr>
                    <a:xfrm>
                      <a:off x="0" y="0"/>
                      <a:ext cx="3775257" cy="2530084"/>
                    </a:xfrm>
                    <a:prstGeom prst="rect">
                      <a:avLst/>
                    </a:prstGeom>
                  </pic:spPr>
                </pic:pic>
              </a:graphicData>
            </a:graphic>
          </wp:inline>
        </w:drawing>
      </w:r>
    </w:p>
    <w:p w14:paraId="27C0B8A0" w14:textId="6F0E4ED2" w:rsidR="00E53227" w:rsidRDefault="000A79F7">
      <w:r>
        <w:lastRenderedPageBreak/>
        <w:t xml:space="preserve">5) One paragraph describing trends in your data, referring to your two plots and your variability analysis. </w:t>
      </w:r>
    </w:p>
    <w:p w14:paraId="12F2B28C" w14:textId="03B859D6" w:rsidR="00E53227" w:rsidRDefault="00E53227"/>
    <w:p w14:paraId="525B2A54" w14:textId="0E73AC37" w:rsidR="00E53227" w:rsidRDefault="00E53227"/>
    <w:p w14:paraId="06A26957" w14:textId="77777777" w:rsidR="00E53227" w:rsidRDefault="00E53227">
      <w:bookmarkStart w:id="4" w:name="_GoBack"/>
      <w:bookmarkEnd w:id="4"/>
    </w:p>
    <w:p w14:paraId="654D91AC" w14:textId="77777777" w:rsidR="004E3261" w:rsidRDefault="004E3261"/>
    <w:p w14:paraId="1A21421D" w14:textId="77777777" w:rsidR="000A79F7" w:rsidRDefault="000A79F7">
      <w:r>
        <w:t xml:space="preserve">6) An initial mathematical model describing the primary model you are planning on fitting (or have fit). Try to focus attention on your primary covariates and outcome; keep these initial models simple and straightforward. As you write your model, be sure to define your subscripts! I.e., at the beginning of your model write something like "For time t for student </w:t>
      </w:r>
      <w:proofErr w:type="spellStart"/>
      <w:r>
        <w:t>i</w:t>
      </w:r>
      <w:proofErr w:type="spellEnd"/>
      <w:r>
        <w:t xml:space="preserve"> in school k we have..." Also, to be correct you would then subscript as </w:t>
      </w:r>
      <w:proofErr w:type="spellStart"/>
      <w:r>
        <w:t>tik</w:t>
      </w:r>
      <w:proofErr w:type="spellEnd"/>
      <w:r>
        <w:t xml:space="preserve">, keeping your levels in order. 11 </w:t>
      </w:r>
    </w:p>
    <w:p w14:paraId="78905130" w14:textId="77777777" w:rsidR="00275AE7" w:rsidRDefault="00275AE7">
      <w:commentRangeStart w:id="5"/>
    </w:p>
    <w:p w14:paraId="082E481D" w14:textId="4C42CBF9" w:rsidR="00275AE7" w:rsidRPr="00275AE7" w:rsidRDefault="00275AE7" w:rsidP="00275AE7">
      <w:pPr>
        <w:rPr>
          <w:b/>
          <w:bCs/>
        </w:rPr>
      </w:pPr>
      <w:r w:rsidRPr="00275AE7">
        <w:rPr>
          <w:b/>
          <w:bCs/>
        </w:rPr>
        <w:t xml:space="preserve">x &lt;- </w:t>
      </w:r>
      <w:proofErr w:type="spellStart"/>
      <w:proofErr w:type="gramStart"/>
      <w:r w:rsidRPr="00275AE7">
        <w:rPr>
          <w:b/>
          <w:bCs/>
        </w:rPr>
        <w:t>lmer</w:t>
      </w:r>
      <w:proofErr w:type="spellEnd"/>
      <w:r w:rsidRPr="00275AE7">
        <w:rPr>
          <w:b/>
          <w:bCs/>
        </w:rPr>
        <w:t>(</w:t>
      </w:r>
      <w:proofErr w:type="spellStart"/>
      <w:proofErr w:type="gramEnd"/>
      <w:r w:rsidRPr="00275AE7">
        <w:rPr>
          <w:b/>
          <w:bCs/>
        </w:rPr>
        <w:t>a_mean</w:t>
      </w:r>
      <w:proofErr w:type="spellEnd"/>
      <w:r w:rsidRPr="00275AE7">
        <w:rPr>
          <w:b/>
          <w:bCs/>
        </w:rPr>
        <w:t xml:space="preserve"> ~ </w:t>
      </w:r>
      <w:proofErr w:type="spellStart"/>
      <w:r w:rsidRPr="00275AE7">
        <w:rPr>
          <w:b/>
          <w:bCs/>
        </w:rPr>
        <w:t>workplaces_reversed</w:t>
      </w:r>
      <w:proofErr w:type="spellEnd"/>
      <w:r w:rsidRPr="00275AE7">
        <w:rPr>
          <w:b/>
          <w:bCs/>
        </w:rPr>
        <w:t>*</w:t>
      </w:r>
      <w:proofErr w:type="spellStart"/>
      <w:r w:rsidRPr="00275AE7">
        <w:rPr>
          <w:b/>
          <w:bCs/>
        </w:rPr>
        <w:t>hdicode</w:t>
      </w:r>
      <w:proofErr w:type="spellEnd"/>
      <w:r w:rsidRPr="00275AE7">
        <w:rPr>
          <w:b/>
          <w:bCs/>
        </w:rPr>
        <w:t xml:space="preserve">  + </w:t>
      </w:r>
      <w:proofErr w:type="spellStart"/>
      <w:r w:rsidRPr="00275AE7">
        <w:rPr>
          <w:b/>
          <w:bCs/>
        </w:rPr>
        <w:t>time_index</w:t>
      </w:r>
      <w:proofErr w:type="spellEnd"/>
      <w:r w:rsidRPr="00275AE7">
        <w:rPr>
          <w:b/>
          <w:bCs/>
        </w:rPr>
        <w:t xml:space="preserve"> + month*hemisphere + </w:t>
      </w:r>
      <w:proofErr w:type="spellStart"/>
      <w:r w:rsidRPr="00275AE7">
        <w:rPr>
          <w:b/>
          <w:bCs/>
        </w:rPr>
        <w:t>pop_density</w:t>
      </w:r>
      <w:proofErr w:type="spellEnd"/>
      <w:r w:rsidRPr="00275AE7">
        <w:rPr>
          <w:b/>
          <w:bCs/>
        </w:rPr>
        <w:t xml:space="preserve"> </w:t>
      </w:r>
      <w:r>
        <w:rPr>
          <w:b/>
          <w:bCs/>
          <w:vertAlign w:val="subscript"/>
        </w:rPr>
        <w:t>+</w:t>
      </w:r>
      <w:r w:rsidRPr="00275AE7">
        <w:rPr>
          <w:b/>
          <w:bCs/>
        </w:rPr>
        <w:t xml:space="preserve">  (1 + </w:t>
      </w:r>
      <w:proofErr w:type="spellStart"/>
      <w:r w:rsidRPr="00275AE7">
        <w:rPr>
          <w:b/>
          <w:bCs/>
        </w:rPr>
        <w:t>time_index</w:t>
      </w:r>
      <w:proofErr w:type="spellEnd"/>
      <w:r w:rsidRPr="00275AE7">
        <w:rPr>
          <w:b/>
          <w:bCs/>
        </w:rPr>
        <w:t xml:space="preserve"> | </w:t>
      </w:r>
      <w:proofErr w:type="spellStart"/>
      <w:r w:rsidRPr="00275AE7">
        <w:rPr>
          <w:b/>
          <w:bCs/>
        </w:rPr>
        <w:t>Mobility_SiteName</w:t>
      </w:r>
      <w:proofErr w:type="spellEnd"/>
      <w:r w:rsidRPr="00275AE7">
        <w:rPr>
          <w:b/>
          <w:bCs/>
        </w:rPr>
        <w:t xml:space="preserve">), control = </w:t>
      </w:r>
      <w:proofErr w:type="spellStart"/>
      <w:r w:rsidRPr="00275AE7">
        <w:rPr>
          <w:b/>
          <w:bCs/>
        </w:rPr>
        <w:t>lmerControl</w:t>
      </w:r>
      <w:proofErr w:type="spellEnd"/>
      <w:r w:rsidRPr="00275AE7">
        <w:rPr>
          <w:b/>
          <w:bCs/>
        </w:rPr>
        <w:t>(optimizer = "</w:t>
      </w:r>
      <w:proofErr w:type="spellStart"/>
      <w:r w:rsidRPr="00275AE7">
        <w:rPr>
          <w:b/>
          <w:bCs/>
        </w:rPr>
        <w:t>bobyqa</w:t>
      </w:r>
      <w:proofErr w:type="spellEnd"/>
      <w:r w:rsidRPr="00275AE7">
        <w:rPr>
          <w:b/>
          <w:bCs/>
        </w:rPr>
        <w:t>"),</w:t>
      </w:r>
    </w:p>
    <w:p w14:paraId="79C1FB2F" w14:textId="72912745" w:rsidR="00275AE7" w:rsidRPr="00275AE7" w:rsidRDefault="00275AE7" w:rsidP="00275AE7">
      <w:pPr>
        <w:rPr>
          <w:b/>
          <w:bCs/>
        </w:rPr>
      </w:pPr>
      <w:r w:rsidRPr="00275AE7">
        <w:rPr>
          <w:b/>
          <w:bCs/>
        </w:rPr>
        <w:t xml:space="preserve">     </w:t>
      </w:r>
      <w:proofErr w:type="gramStart"/>
      <w:r w:rsidRPr="00275AE7">
        <w:rPr>
          <w:b/>
          <w:bCs/>
        </w:rPr>
        <w:t>data</w:t>
      </w:r>
      <w:proofErr w:type="gramEnd"/>
      <w:r w:rsidRPr="00275AE7">
        <w:rPr>
          <w:b/>
          <w:bCs/>
        </w:rPr>
        <w:t xml:space="preserve"> = pm)</w:t>
      </w:r>
      <w:commentRangeEnd w:id="5"/>
      <w:r>
        <w:rPr>
          <w:rStyle w:val="CommentReference"/>
        </w:rPr>
        <w:commentReference w:id="5"/>
      </w:r>
    </w:p>
    <w:p w14:paraId="7D5CC19B" w14:textId="77777777" w:rsidR="00275AE7" w:rsidRDefault="00275AE7"/>
    <w:p w14:paraId="02BE2C04" w14:textId="77777777" w:rsidR="00C71D03" w:rsidRDefault="000A79F7">
      <w:r>
        <w:t xml:space="preserve">7) One paragraph of initial findings. If you have not yet fit a model, you can still describe preliminary findings in terms of trends, etc., in your plots and initial exploratory analysis. </w:t>
      </w:r>
    </w:p>
    <w:p w14:paraId="182AFE06" w14:textId="4505065F" w:rsidR="00160598" w:rsidRDefault="00160598">
      <w:r>
        <w:t>We found a significant interaction between decreased concentrations of people at workplaces and human development index</w:t>
      </w:r>
      <w:r w:rsidR="00546332">
        <w:t xml:space="preserve"> (HDI) on PM2.5 concentrations (Figure 1). </w:t>
      </w:r>
      <w:r w:rsidR="007624F4">
        <w:t xml:space="preserve">We found </w:t>
      </w:r>
      <w:r w:rsidR="002E2D60">
        <w:t>that at sites with a low or</w:t>
      </w:r>
      <w:r w:rsidR="00F05B85">
        <w:t xml:space="preserve"> medium</w:t>
      </w:r>
      <w:r w:rsidR="007624F4">
        <w:t xml:space="preserve"> HDI score, decreasing concentrations of people at workplaces was associated with drastic decreases in PM2.5 concentrations (Figure 1, red and blue lines). </w:t>
      </w:r>
      <w:r w:rsidR="00F35CD5">
        <w:t xml:space="preserve">This likely reflects a </w:t>
      </w:r>
      <w:r w:rsidR="0054783E">
        <w:t>decre</w:t>
      </w:r>
      <w:r w:rsidR="007F48B4">
        <w:t>ase in emissions from highly polluting industry sources</w:t>
      </w:r>
      <w:r w:rsidR="00053B38">
        <w:t xml:space="preserve"> (</w:t>
      </w:r>
      <w:r w:rsidR="0010546C">
        <w:t>e.g. manufacturing, agriculture</w:t>
      </w:r>
      <w:r w:rsidR="00053B38">
        <w:t>)</w:t>
      </w:r>
      <w:r w:rsidR="00F35CD5">
        <w:t xml:space="preserve"> that were closed </w:t>
      </w:r>
      <w:r w:rsidR="00D32779">
        <w:t xml:space="preserve">or reduced in activity </w:t>
      </w:r>
      <w:r w:rsidR="00F35CD5">
        <w:t>during the COVID-19 lockdowns</w:t>
      </w:r>
      <w:r w:rsidR="007F48B4">
        <w:t xml:space="preserve">. </w:t>
      </w:r>
      <w:r w:rsidR="005E0C6A">
        <w:t>In contrast, we see that in high and very high HDI settings, decreased time at work is associated with</w:t>
      </w:r>
      <w:r w:rsidR="00AF0231">
        <w:t xml:space="preserve"> a</w:t>
      </w:r>
      <w:r w:rsidR="005E0C6A">
        <w:t xml:space="preserve"> slight increases in PM2.5 concentrations. </w:t>
      </w:r>
      <w:r w:rsidR="00FD67F5">
        <w:t xml:space="preserve">We were not expecting a predicted increase in PM2.5, but instead a less dramatic decrease. </w:t>
      </w:r>
      <w:r w:rsidR="00280B14">
        <w:t>We predicted that decreased workplace attendance would be associated with decreased PM2.5 concentrations in high income settings through a reduction in traffic. According to the literature, traffic generally did decrease in</w:t>
      </w:r>
      <w:r w:rsidR="00F824FA">
        <w:t xml:space="preserve"> European</w:t>
      </w:r>
      <w:r w:rsidR="00280B14">
        <w:t xml:space="preserve"> settings, </w:t>
      </w:r>
      <w:commentRangeStart w:id="6"/>
      <w:r w:rsidR="00280B14">
        <w:t>but at varying magnitudes,</w:t>
      </w:r>
      <w:r w:rsidR="008A3C49">
        <w:t xml:space="preserve"> ranging from 25-75% reduction.</w:t>
      </w:r>
      <w:commentRangeEnd w:id="6"/>
      <w:r w:rsidR="008A3C49">
        <w:rPr>
          <w:rStyle w:val="CommentReference"/>
        </w:rPr>
        <w:commentReference w:id="6"/>
      </w:r>
      <w:r w:rsidR="00D03F6E">
        <w:t xml:space="preserve"> It is possible that the reduction in traffic may not have been enough to offset the increased use of energy at residential locations (</w:t>
      </w:r>
      <w:r w:rsidR="0010546C">
        <w:t xml:space="preserve">e.g. </w:t>
      </w:r>
      <w:r w:rsidR="00D03F6E">
        <w:t xml:space="preserve">through heating, cooling, </w:t>
      </w:r>
      <w:r w:rsidR="00B4019D">
        <w:t xml:space="preserve">refrigeration, </w:t>
      </w:r>
      <w:r w:rsidR="00D03F6E">
        <w:t>and lighting</w:t>
      </w:r>
      <w:r w:rsidR="00115040">
        <w:t>).</w:t>
      </w:r>
    </w:p>
    <w:p w14:paraId="12697B98" w14:textId="7E8E12D5" w:rsidR="00AD3D6E" w:rsidRDefault="00160598">
      <w:r>
        <w:t xml:space="preserve"> </w:t>
      </w:r>
      <w:r w:rsidR="00AD3D6E">
        <w:t xml:space="preserve">We found that the effect of time (February – October 2020) on PM2.5 </w:t>
      </w:r>
      <w:r w:rsidR="00EC7392">
        <w:t>concentrations</w:t>
      </w:r>
      <w:r w:rsidR="00AD3D6E">
        <w:t xml:space="preserve"> varied widely by site (Figure 2). </w:t>
      </w:r>
      <w:r w:rsidR="00630D8E">
        <w:t xml:space="preserve">We expected this </w:t>
      </w:r>
      <w:r w:rsidR="008C6E81">
        <w:t xml:space="preserve">finding </w:t>
      </w:r>
      <w:r w:rsidR="0018691D">
        <w:t xml:space="preserve">and attribute it </w:t>
      </w:r>
      <w:r w:rsidR="006C6F33">
        <w:t>in part</w:t>
      </w:r>
      <w:r w:rsidR="00C62F87">
        <w:t xml:space="preserve"> </w:t>
      </w:r>
      <w:r w:rsidR="00630D8E">
        <w:t xml:space="preserve">to the differences in time to lockdown. </w:t>
      </w:r>
    </w:p>
    <w:p w14:paraId="53859495" w14:textId="7E3F5A85" w:rsidR="00C71D03" w:rsidRDefault="000A79F7">
      <w:r>
        <w:t>8) One paragraph describing next steps, blocks, barriers, concerns, or other things you would like to discuss and get feedback on.</w:t>
      </w:r>
    </w:p>
    <w:p w14:paraId="0AA1EE46" w14:textId="5962A814" w:rsidR="00C71D03" w:rsidRPr="00DC292D" w:rsidRDefault="00C71D03">
      <w:r>
        <w:t xml:space="preserve">We still plan to run the analysis of change in time spent at residential locations on PM2.5 concentrations. </w:t>
      </w:r>
      <w:r w:rsidR="00ED5C4B">
        <w:t>We are also considering performing a principal component analysis of all the mobility variables available from google (change in</w:t>
      </w:r>
      <w:r w:rsidR="000A1D52">
        <w:t xml:space="preserve"> concentration of people at</w:t>
      </w:r>
      <w:r w:rsidR="00ED5C4B">
        <w:t xml:space="preserve"> </w:t>
      </w:r>
      <w:r w:rsidR="00ED5C4B" w:rsidRPr="00ED5C4B">
        <w:t xml:space="preserve">retail and recreation, groceries and pharmacies, </w:t>
      </w:r>
      <w:r w:rsidR="00ED5C4B" w:rsidRPr="00ED5C4B">
        <w:lastRenderedPageBreak/>
        <w:t>parks, transit stations, workplaces, and</w:t>
      </w:r>
      <w:r w:rsidR="000A1D52">
        <w:t xml:space="preserve"> time at</w:t>
      </w:r>
      <w:r w:rsidR="00ED5C4B" w:rsidRPr="00ED5C4B">
        <w:t xml:space="preserve"> residential</w:t>
      </w:r>
      <w:r w:rsidR="000A1D52">
        <w:t xml:space="preserve"> locations</w:t>
      </w:r>
      <w:r w:rsidR="00ED5C4B">
        <w:t>)</w:t>
      </w:r>
      <w:r w:rsidR="00EC5C00">
        <w:t>. We would then use the identified principal components as individual predictors in our model</w:t>
      </w:r>
      <w:r w:rsidR="00B64B28">
        <w:t xml:space="preserve"> to represent the different </w:t>
      </w:r>
      <w:r w:rsidR="006C0C6A">
        <w:t xml:space="preserve">categories </w:t>
      </w:r>
      <w:r w:rsidR="00B64B28">
        <w:t xml:space="preserve">of </w:t>
      </w:r>
      <w:r w:rsidR="00A72A12">
        <w:t xml:space="preserve">human </w:t>
      </w:r>
      <w:r w:rsidR="00B64B28">
        <w:t>mobility.</w:t>
      </w:r>
      <w:r w:rsidR="00BA6CEE">
        <w:t xml:space="preserve"> </w:t>
      </w:r>
      <w:r w:rsidR="00DC292D">
        <w:t>We are still considering de-trending out PM2.5 data, as we have data spanning back to 2017, it would be great to utilize this data to remove the longer time trend which would allow us to isolate the effects during the period of interest (February – October 2020).</w:t>
      </w:r>
    </w:p>
    <w:sectPr w:rsidR="00C71D03" w:rsidRPr="00DC29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nnifer Rooney" w:date="2023-11-20T12:18:00Z" w:initials="JR">
    <w:p w14:paraId="066493F5" w14:textId="2EDB538F" w:rsidR="002F44B8" w:rsidRDefault="002F44B8">
      <w:pPr>
        <w:pStyle w:val="CommentText"/>
      </w:pPr>
      <w:r>
        <w:rPr>
          <w:rStyle w:val="CommentReference"/>
        </w:rPr>
        <w:annotationRef/>
      </w:r>
      <w:r w:rsidRPr="002F44B8">
        <w:t>https://www.ncbi.nlm.nih.gov/pmc/articles/PMC9117801/</w:t>
      </w:r>
    </w:p>
  </w:comment>
  <w:comment w:id="1" w:author="Jennifer Rooney" w:date="2023-11-20T12:40:00Z" w:initials="JR">
    <w:p w14:paraId="60BB0C28" w14:textId="15E82735" w:rsidR="00B54CB0" w:rsidRDefault="00B54CB0">
      <w:pPr>
        <w:pStyle w:val="CommentText"/>
      </w:pPr>
      <w:r>
        <w:rPr>
          <w:rStyle w:val="CommentReference"/>
        </w:rPr>
        <w:annotationRef/>
      </w:r>
      <w:r w:rsidRPr="00B54CB0">
        <w:t>https://agupubs.onlinelibrary.wiley.com/doi/full/10.1029/2022GH000767</w:t>
      </w:r>
    </w:p>
  </w:comment>
  <w:comment w:id="2" w:author="Jennifer Rooney" w:date="2023-11-20T12:46:00Z" w:initials="JR">
    <w:p w14:paraId="1DEB2C6E" w14:textId="00C583ED" w:rsidR="00460CD0" w:rsidRDefault="00460CD0">
      <w:pPr>
        <w:pStyle w:val="CommentText"/>
      </w:pPr>
      <w:r>
        <w:rPr>
          <w:rStyle w:val="CommentReference"/>
        </w:rPr>
        <w:annotationRef/>
      </w:r>
      <w:r w:rsidRPr="00460CD0">
        <w:t>https://iopscience.iop.org/article/10.1088/2634-4505/ac949b</w:t>
      </w:r>
    </w:p>
  </w:comment>
  <w:comment w:id="3" w:author="Jennifer Rooney" w:date="2023-11-20T15:04:00Z" w:initials="JR">
    <w:p w14:paraId="55E29BAF" w14:textId="30ED894E" w:rsidR="00C34A69" w:rsidRDefault="00C34A69">
      <w:pPr>
        <w:pStyle w:val="CommentText"/>
      </w:pPr>
      <w:r>
        <w:rPr>
          <w:rStyle w:val="CommentReference"/>
        </w:rPr>
        <w:annotationRef/>
      </w:r>
      <w:r>
        <w:t>I reversed the x axis so as you go to the right it actually shows a DECREASE in people at work (</w:t>
      </w:r>
      <w:proofErr w:type="spellStart"/>
      <w:r>
        <w:t>ie</w:t>
      </w:r>
      <w:proofErr w:type="spellEnd"/>
      <w:r>
        <w:t xml:space="preserve"> 90% reduction in people at work) I wanted to update the title and legend and stuff but </w:t>
      </w:r>
      <w:proofErr w:type="spellStart"/>
      <w:r>
        <w:t>rstudio</w:t>
      </w:r>
      <w:proofErr w:type="spellEnd"/>
      <w:r>
        <w:t xml:space="preserve"> keeps throwing me errors </w:t>
      </w:r>
    </w:p>
  </w:comment>
  <w:comment w:id="5" w:author="Jennifer Rooney [2]" w:date="2023-11-18T17:25:00Z" w:initials="JR">
    <w:p w14:paraId="12906949" w14:textId="77777777" w:rsidR="00275AE7" w:rsidRDefault="00275AE7" w:rsidP="00A3384D">
      <w:pPr>
        <w:pStyle w:val="CommentText"/>
      </w:pPr>
      <w:r>
        <w:rPr>
          <w:rStyle w:val="CommentReference"/>
        </w:rPr>
        <w:annotationRef/>
      </w:r>
      <w:r>
        <w:t>Need to write at the mathematical model for this</w:t>
      </w:r>
    </w:p>
  </w:comment>
  <w:comment w:id="6" w:author="Jennifer Rooney" w:date="2023-11-20T14:59:00Z" w:initials="JR">
    <w:p w14:paraId="6F909797" w14:textId="3FFFAFB4" w:rsidR="008A3C49" w:rsidRDefault="008A3C49">
      <w:pPr>
        <w:pStyle w:val="CommentText"/>
      </w:pPr>
      <w:r>
        <w:rPr>
          <w:rStyle w:val="CommentReference"/>
        </w:rPr>
        <w:annotationRef/>
      </w:r>
      <w:r w:rsidRPr="008A3C49">
        <w:t>https://wjes.biomedcentral.com/articles/10.1186/s13017-021-00395-8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6493F5" w15:done="0"/>
  <w15:commentEx w15:paraId="60BB0C28" w15:done="0"/>
  <w15:commentEx w15:paraId="1DEB2C6E" w15:done="0"/>
  <w15:commentEx w15:paraId="55E29BAF" w15:done="0"/>
  <w15:commentEx w15:paraId="12906949" w15:done="0"/>
  <w15:commentEx w15:paraId="6F909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ABE496" w16cex:dateUtc="2023-11-18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06949" w16cid:durableId="7FABE4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E1975"/>
    <w:multiLevelType w:val="hybridMultilevel"/>
    <w:tmpl w:val="CBCA7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 Rooney">
    <w15:presenceInfo w15:providerId="None" w15:userId="Jennifer Rooney"/>
  </w15:person>
  <w15:person w15:author="Jennifer Rooney [2]">
    <w15:presenceInfo w15:providerId="Windows Live" w15:userId="2371eb3e68a1c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F7"/>
    <w:rsid w:val="000423B5"/>
    <w:rsid w:val="00053B38"/>
    <w:rsid w:val="00070F48"/>
    <w:rsid w:val="000A1D52"/>
    <w:rsid w:val="000A7289"/>
    <w:rsid w:val="000A79F7"/>
    <w:rsid w:val="000C5AC8"/>
    <w:rsid w:val="0010546C"/>
    <w:rsid w:val="00115040"/>
    <w:rsid w:val="00120616"/>
    <w:rsid w:val="00160598"/>
    <w:rsid w:val="00167005"/>
    <w:rsid w:val="001720EE"/>
    <w:rsid w:val="001846A7"/>
    <w:rsid w:val="0018691D"/>
    <w:rsid w:val="001D2ADC"/>
    <w:rsid w:val="0020592A"/>
    <w:rsid w:val="00275AE7"/>
    <w:rsid w:val="00280B14"/>
    <w:rsid w:val="002E2D60"/>
    <w:rsid w:val="002E3EFC"/>
    <w:rsid w:val="002F44B8"/>
    <w:rsid w:val="003360C9"/>
    <w:rsid w:val="0035475B"/>
    <w:rsid w:val="003A3807"/>
    <w:rsid w:val="003B4D09"/>
    <w:rsid w:val="004102EB"/>
    <w:rsid w:val="00456EE9"/>
    <w:rsid w:val="00460CD0"/>
    <w:rsid w:val="00486238"/>
    <w:rsid w:val="004915C4"/>
    <w:rsid w:val="004E3261"/>
    <w:rsid w:val="00510ECA"/>
    <w:rsid w:val="00516EFE"/>
    <w:rsid w:val="00526579"/>
    <w:rsid w:val="00537102"/>
    <w:rsid w:val="00546332"/>
    <w:rsid w:val="0054783E"/>
    <w:rsid w:val="00565C31"/>
    <w:rsid w:val="005A5302"/>
    <w:rsid w:val="005E0C6A"/>
    <w:rsid w:val="005E5D10"/>
    <w:rsid w:val="00630D8E"/>
    <w:rsid w:val="00642B11"/>
    <w:rsid w:val="00654993"/>
    <w:rsid w:val="00660051"/>
    <w:rsid w:val="006713CB"/>
    <w:rsid w:val="00671C68"/>
    <w:rsid w:val="0067790A"/>
    <w:rsid w:val="00685E17"/>
    <w:rsid w:val="006945EF"/>
    <w:rsid w:val="006B3B72"/>
    <w:rsid w:val="006C0C6A"/>
    <w:rsid w:val="006C0E9A"/>
    <w:rsid w:val="006C2EB5"/>
    <w:rsid w:val="006C6F33"/>
    <w:rsid w:val="006D189D"/>
    <w:rsid w:val="006D5F59"/>
    <w:rsid w:val="006D646D"/>
    <w:rsid w:val="006F76D7"/>
    <w:rsid w:val="00700321"/>
    <w:rsid w:val="00702D32"/>
    <w:rsid w:val="00703A47"/>
    <w:rsid w:val="007068FA"/>
    <w:rsid w:val="00715C41"/>
    <w:rsid w:val="00755540"/>
    <w:rsid w:val="007624F4"/>
    <w:rsid w:val="007665BD"/>
    <w:rsid w:val="007A6F54"/>
    <w:rsid w:val="007B7C9A"/>
    <w:rsid w:val="007C1B25"/>
    <w:rsid w:val="007F48B4"/>
    <w:rsid w:val="00821AE1"/>
    <w:rsid w:val="008A0AEF"/>
    <w:rsid w:val="008A3C49"/>
    <w:rsid w:val="008C6E81"/>
    <w:rsid w:val="00914D97"/>
    <w:rsid w:val="00943D56"/>
    <w:rsid w:val="009B29A0"/>
    <w:rsid w:val="009B7821"/>
    <w:rsid w:val="009D7318"/>
    <w:rsid w:val="00A06026"/>
    <w:rsid w:val="00A179D1"/>
    <w:rsid w:val="00A43362"/>
    <w:rsid w:val="00A5510D"/>
    <w:rsid w:val="00A72A12"/>
    <w:rsid w:val="00AC45FA"/>
    <w:rsid w:val="00AD3D6E"/>
    <w:rsid w:val="00AD4B82"/>
    <w:rsid w:val="00AD5515"/>
    <w:rsid w:val="00AF0231"/>
    <w:rsid w:val="00B15C6B"/>
    <w:rsid w:val="00B4019D"/>
    <w:rsid w:val="00B54CB0"/>
    <w:rsid w:val="00B64B28"/>
    <w:rsid w:val="00B662B2"/>
    <w:rsid w:val="00BA6CEE"/>
    <w:rsid w:val="00BD0DE9"/>
    <w:rsid w:val="00BF4740"/>
    <w:rsid w:val="00C00B65"/>
    <w:rsid w:val="00C34A69"/>
    <w:rsid w:val="00C51BAD"/>
    <w:rsid w:val="00C6005D"/>
    <w:rsid w:val="00C62F87"/>
    <w:rsid w:val="00C67547"/>
    <w:rsid w:val="00C71D03"/>
    <w:rsid w:val="00C95DFF"/>
    <w:rsid w:val="00CB3A60"/>
    <w:rsid w:val="00CC6854"/>
    <w:rsid w:val="00CE6F6D"/>
    <w:rsid w:val="00D03F6E"/>
    <w:rsid w:val="00D16209"/>
    <w:rsid w:val="00D26159"/>
    <w:rsid w:val="00D32779"/>
    <w:rsid w:val="00D62022"/>
    <w:rsid w:val="00DC292D"/>
    <w:rsid w:val="00DE7331"/>
    <w:rsid w:val="00E0611E"/>
    <w:rsid w:val="00E5128A"/>
    <w:rsid w:val="00E53227"/>
    <w:rsid w:val="00E65CD2"/>
    <w:rsid w:val="00EC5C00"/>
    <w:rsid w:val="00EC7392"/>
    <w:rsid w:val="00ED2DA4"/>
    <w:rsid w:val="00ED5C4B"/>
    <w:rsid w:val="00F05B85"/>
    <w:rsid w:val="00F226DB"/>
    <w:rsid w:val="00F35CD5"/>
    <w:rsid w:val="00F824FA"/>
    <w:rsid w:val="00F865F4"/>
    <w:rsid w:val="00F87180"/>
    <w:rsid w:val="00FA2D81"/>
    <w:rsid w:val="00FD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4E3B"/>
  <w15:chartTrackingRefBased/>
  <w15:docId w15:val="{429CE6C6-0B07-4D97-842D-2FBBC8D8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5AE7"/>
    <w:rPr>
      <w:sz w:val="16"/>
      <w:szCs w:val="16"/>
    </w:rPr>
  </w:style>
  <w:style w:type="paragraph" w:styleId="CommentText">
    <w:name w:val="annotation text"/>
    <w:basedOn w:val="Normal"/>
    <w:link w:val="CommentTextChar"/>
    <w:uiPriority w:val="99"/>
    <w:unhideWhenUsed/>
    <w:rsid w:val="00275AE7"/>
    <w:pPr>
      <w:spacing w:line="240" w:lineRule="auto"/>
    </w:pPr>
    <w:rPr>
      <w:sz w:val="20"/>
      <w:szCs w:val="20"/>
    </w:rPr>
  </w:style>
  <w:style w:type="character" w:customStyle="1" w:styleId="CommentTextChar">
    <w:name w:val="Comment Text Char"/>
    <w:basedOn w:val="DefaultParagraphFont"/>
    <w:link w:val="CommentText"/>
    <w:uiPriority w:val="99"/>
    <w:rsid w:val="00275AE7"/>
    <w:rPr>
      <w:sz w:val="20"/>
      <w:szCs w:val="20"/>
    </w:rPr>
  </w:style>
  <w:style w:type="paragraph" w:styleId="CommentSubject">
    <w:name w:val="annotation subject"/>
    <w:basedOn w:val="CommentText"/>
    <w:next w:val="CommentText"/>
    <w:link w:val="CommentSubjectChar"/>
    <w:uiPriority w:val="99"/>
    <w:semiHidden/>
    <w:unhideWhenUsed/>
    <w:rsid w:val="00275AE7"/>
    <w:rPr>
      <w:b/>
      <w:bCs/>
    </w:rPr>
  </w:style>
  <w:style w:type="character" w:customStyle="1" w:styleId="CommentSubjectChar">
    <w:name w:val="Comment Subject Char"/>
    <w:basedOn w:val="CommentTextChar"/>
    <w:link w:val="CommentSubject"/>
    <w:uiPriority w:val="99"/>
    <w:semiHidden/>
    <w:rsid w:val="00275AE7"/>
    <w:rPr>
      <w:b/>
      <w:bCs/>
      <w:sz w:val="20"/>
      <w:szCs w:val="20"/>
    </w:rPr>
  </w:style>
  <w:style w:type="paragraph" w:styleId="ListParagraph">
    <w:name w:val="List Paragraph"/>
    <w:basedOn w:val="Normal"/>
    <w:uiPriority w:val="34"/>
    <w:qFormat/>
    <w:rsid w:val="00CE6F6D"/>
    <w:pPr>
      <w:ind w:left="720"/>
      <w:contextualSpacing/>
    </w:pPr>
  </w:style>
  <w:style w:type="paragraph" w:styleId="BalloonText">
    <w:name w:val="Balloon Text"/>
    <w:basedOn w:val="Normal"/>
    <w:link w:val="BalloonTextChar"/>
    <w:uiPriority w:val="99"/>
    <w:semiHidden/>
    <w:unhideWhenUsed/>
    <w:rsid w:val="002F44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4B8"/>
    <w:rPr>
      <w:rFonts w:ascii="Segoe UI" w:hAnsi="Segoe UI" w:cs="Segoe UI"/>
      <w:sz w:val="18"/>
      <w:szCs w:val="18"/>
    </w:rPr>
  </w:style>
  <w:style w:type="table" w:styleId="TableGridLight">
    <w:name w:val="Grid Table Light"/>
    <w:basedOn w:val="TableNormal"/>
    <w:uiPriority w:val="40"/>
    <w:rsid w:val="00A06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735699">
      <w:bodyDiv w:val="1"/>
      <w:marLeft w:val="0"/>
      <w:marRight w:val="0"/>
      <w:marTop w:val="0"/>
      <w:marBottom w:val="0"/>
      <w:divBdr>
        <w:top w:val="none" w:sz="0" w:space="0" w:color="auto"/>
        <w:left w:val="none" w:sz="0" w:space="0" w:color="auto"/>
        <w:bottom w:val="none" w:sz="0" w:space="0" w:color="auto"/>
        <w:right w:val="none" w:sz="0" w:space="0" w:color="auto"/>
      </w:divBdr>
      <w:divsChild>
        <w:div w:id="1431394500">
          <w:marLeft w:val="0"/>
          <w:marRight w:val="0"/>
          <w:marTop w:val="0"/>
          <w:marBottom w:val="0"/>
          <w:divBdr>
            <w:top w:val="none" w:sz="0" w:space="0" w:color="auto"/>
            <w:left w:val="none" w:sz="0" w:space="0" w:color="auto"/>
            <w:bottom w:val="none" w:sz="0" w:space="0" w:color="auto"/>
            <w:right w:val="none" w:sz="0" w:space="0" w:color="auto"/>
          </w:divBdr>
        </w:div>
        <w:div w:id="2115899433">
          <w:marLeft w:val="0"/>
          <w:marRight w:val="0"/>
          <w:marTop w:val="0"/>
          <w:marBottom w:val="0"/>
          <w:divBdr>
            <w:top w:val="none" w:sz="0" w:space="0" w:color="auto"/>
            <w:left w:val="none" w:sz="0" w:space="0" w:color="auto"/>
            <w:bottom w:val="none" w:sz="0" w:space="0" w:color="auto"/>
            <w:right w:val="none" w:sz="0" w:space="0" w:color="auto"/>
          </w:divBdr>
        </w:div>
        <w:div w:id="1994068689">
          <w:marLeft w:val="0"/>
          <w:marRight w:val="0"/>
          <w:marTop w:val="0"/>
          <w:marBottom w:val="0"/>
          <w:divBdr>
            <w:top w:val="none" w:sz="0" w:space="0" w:color="auto"/>
            <w:left w:val="none" w:sz="0" w:space="0" w:color="auto"/>
            <w:bottom w:val="none" w:sz="0" w:space="0" w:color="auto"/>
            <w:right w:val="none" w:sz="0" w:space="0" w:color="auto"/>
          </w:divBdr>
        </w:div>
        <w:div w:id="1952324477">
          <w:marLeft w:val="0"/>
          <w:marRight w:val="0"/>
          <w:marTop w:val="0"/>
          <w:marBottom w:val="0"/>
          <w:divBdr>
            <w:top w:val="none" w:sz="0" w:space="0" w:color="auto"/>
            <w:left w:val="none" w:sz="0" w:space="0" w:color="auto"/>
            <w:bottom w:val="none" w:sz="0" w:space="0" w:color="auto"/>
            <w:right w:val="none" w:sz="0" w:space="0" w:color="auto"/>
          </w:divBdr>
        </w:div>
        <w:div w:id="252248499">
          <w:marLeft w:val="0"/>
          <w:marRight w:val="0"/>
          <w:marTop w:val="0"/>
          <w:marBottom w:val="0"/>
          <w:divBdr>
            <w:top w:val="none" w:sz="0" w:space="0" w:color="auto"/>
            <w:left w:val="none" w:sz="0" w:space="0" w:color="auto"/>
            <w:bottom w:val="none" w:sz="0" w:space="0" w:color="auto"/>
            <w:right w:val="none" w:sz="0" w:space="0" w:color="auto"/>
          </w:divBdr>
        </w:div>
        <w:div w:id="1172798660">
          <w:marLeft w:val="0"/>
          <w:marRight w:val="0"/>
          <w:marTop w:val="0"/>
          <w:marBottom w:val="0"/>
          <w:divBdr>
            <w:top w:val="none" w:sz="0" w:space="0" w:color="auto"/>
            <w:left w:val="none" w:sz="0" w:space="0" w:color="auto"/>
            <w:bottom w:val="none" w:sz="0" w:space="0" w:color="auto"/>
            <w:right w:val="none" w:sz="0" w:space="0" w:color="auto"/>
          </w:divBdr>
        </w:div>
        <w:div w:id="440344057">
          <w:marLeft w:val="0"/>
          <w:marRight w:val="0"/>
          <w:marTop w:val="0"/>
          <w:marBottom w:val="0"/>
          <w:divBdr>
            <w:top w:val="none" w:sz="0" w:space="0" w:color="auto"/>
            <w:left w:val="none" w:sz="0" w:space="0" w:color="auto"/>
            <w:bottom w:val="none" w:sz="0" w:space="0" w:color="auto"/>
            <w:right w:val="none" w:sz="0" w:space="0" w:color="auto"/>
          </w:divBdr>
        </w:div>
        <w:div w:id="2053184296">
          <w:marLeft w:val="0"/>
          <w:marRight w:val="0"/>
          <w:marTop w:val="0"/>
          <w:marBottom w:val="0"/>
          <w:divBdr>
            <w:top w:val="none" w:sz="0" w:space="0" w:color="auto"/>
            <w:left w:val="none" w:sz="0" w:space="0" w:color="auto"/>
            <w:bottom w:val="none" w:sz="0" w:space="0" w:color="auto"/>
            <w:right w:val="none" w:sz="0" w:space="0" w:color="auto"/>
          </w:divBdr>
        </w:div>
        <w:div w:id="1695495384">
          <w:marLeft w:val="0"/>
          <w:marRight w:val="0"/>
          <w:marTop w:val="0"/>
          <w:marBottom w:val="0"/>
          <w:divBdr>
            <w:top w:val="none" w:sz="0" w:space="0" w:color="auto"/>
            <w:left w:val="none" w:sz="0" w:space="0" w:color="auto"/>
            <w:bottom w:val="none" w:sz="0" w:space="0" w:color="auto"/>
            <w:right w:val="none" w:sz="0" w:space="0" w:color="auto"/>
          </w:divBdr>
        </w:div>
        <w:div w:id="1794519549">
          <w:marLeft w:val="0"/>
          <w:marRight w:val="0"/>
          <w:marTop w:val="0"/>
          <w:marBottom w:val="0"/>
          <w:divBdr>
            <w:top w:val="none" w:sz="0" w:space="0" w:color="auto"/>
            <w:left w:val="none" w:sz="0" w:space="0" w:color="auto"/>
            <w:bottom w:val="none" w:sz="0" w:space="0" w:color="auto"/>
            <w:right w:val="none" w:sz="0" w:space="0" w:color="auto"/>
          </w:divBdr>
        </w:div>
        <w:div w:id="1029374024">
          <w:marLeft w:val="0"/>
          <w:marRight w:val="0"/>
          <w:marTop w:val="0"/>
          <w:marBottom w:val="0"/>
          <w:divBdr>
            <w:top w:val="none" w:sz="0" w:space="0" w:color="auto"/>
            <w:left w:val="none" w:sz="0" w:space="0" w:color="auto"/>
            <w:bottom w:val="none" w:sz="0" w:space="0" w:color="auto"/>
            <w:right w:val="none" w:sz="0" w:space="0" w:color="auto"/>
          </w:divBdr>
        </w:div>
        <w:div w:id="1122387174">
          <w:marLeft w:val="0"/>
          <w:marRight w:val="0"/>
          <w:marTop w:val="0"/>
          <w:marBottom w:val="0"/>
          <w:divBdr>
            <w:top w:val="none" w:sz="0" w:space="0" w:color="auto"/>
            <w:left w:val="none" w:sz="0" w:space="0" w:color="auto"/>
            <w:bottom w:val="none" w:sz="0" w:space="0" w:color="auto"/>
            <w:right w:val="none" w:sz="0" w:space="0" w:color="auto"/>
          </w:divBdr>
        </w:div>
        <w:div w:id="1343511592">
          <w:marLeft w:val="0"/>
          <w:marRight w:val="0"/>
          <w:marTop w:val="0"/>
          <w:marBottom w:val="0"/>
          <w:divBdr>
            <w:top w:val="none" w:sz="0" w:space="0" w:color="auto"/>
            <w:left w:val="none" w:sz="0" w:space="0" w:color="auto"/>
            <w:bottom w:val="none" w:sz="0" w:space="0" w:color="auto"/>
            <w:right w:val="none" w:sz="0" w:space="0" w:color="auto"/>
          </w:divBdr>
        </w:div>
        <w:div w:id="307243376">
          <w:marLeft w:val="0"/>
          <w:marRight w:val="0"/>
          <w:marTop w:val="0"/>
          <w:marBottom w:val="0"/>
          <w:divBdr>
            <w:top w:val="none" w:sz="0" w:space="0" w:color="auto"/>
            <w:left w:val="none" w:sz="0" w:space="0" w:color="auto"/>
            <w:bottom w:val="none" w:sz="0" w:space="0" w:color="auto"/>
            <w:right w:val="none" w:sz="0" w:space="0" w:color="auto"/>
          </w:divBdr>
        </w:div>
        <w:div w:id="907960715">
          <w:marLeft w:val="0"/>
          <w:marRight w:val="0"/>
          <w:marTop w:val="0"/>
          <w:marBottom w:val="0"/>
          <w:divBdr>
            <w:top w:val="none" w:sz="0" w:space="0" w:color="auto"/>
            <w:left w:val="none" w:sz="0" w:space="0" w:color="auto"/>
            <w:bottom w:val="none" w:sz="0" w:space="0" w:color="auto"/>
            <w:right w:val="none" w:sz="0" w:space="0" w:color="auto"/>
          </w:divBdr>
        </w:div>
        <w:div w:id="1108502787">
          <w:marLeft w:val="0"/>
          <w:marRight w:val="0"/>
          <w:marTop w:val="0"/>
          <w:marBottom w:val="0"/>
          <w:divBdr>
            <w:top w:val="none" w:sz="0" w:space="0" w:color="auto"/>
            <w:left w:val="none" w:sz="0" w:space="0" w:color="auto"/>
            <w:bottom w:val="none" w:sz="0" w:space="0" w:color="auto"/>
            <w:right w:val="none" w:sz="0" w:space="0" w:color="auto"/>
          </w:divBdr>
        </w:div>
        <w:div w:id="1260142039">
          <w:marLeft w:val="0"/>
          <w:marRight w:val="0"/>
          <w:marTop w:val="0"/>
          <w:marBottom w:val="0"/>
          <w:divBdr>
            <w:top w:val="none" w:sz="0" w:space="0" w:color="auto"/>
            <w:left w:val="none" w:sz="0" w:space="0" w:color="auto"/>
            <w:bottom w:val="none" w:sz="0" w:space="0" w:color="auto"/>
            <w:right w:val="none" w:sz="0" w:space="0" w:color="auto"/>
          </w:divBdr>
        </w:div>
        <w:div w:id="47001086">
          <w:marLeft w:val="0"/>
          <w:marRight w:val="0"/>
          <w:marTop w:val="0"/>
          <w:marBottom w:val="0"/>
          <w:divBdr>
            <w:top w:val="none" w:sz="0" w:space="0" w:color="auto"/>
            <w:left w:val="none" w:sz="0" w:space="0" w:color="auto"/>
            <w:bottom w:val="none" w:sz="0" w:space="0" w:color="auto"/>
            <w:right w:val="none" w:sz="0" w:space="0" w:color="auto"/>
          </w:divBdr>
        </w:div>
        <w:div w:id="1887981359">
          <w:marLeft w:val="0"/>
          <w:marRight w:val="0"/>
          <w:marTop w:val="0"/>
          <w:marBottom w:val="0"/>
          <w:divBdr>
            <w:top w:val="none" w:sz="0" w:space="0" w:color="auto"/>
            <w:left w:val="none" w:sz="0" w:space="0" w:color="auto"/>
            <w:bottom w:val="none" w:sz="0" w:space="0" w:color="auto"/>
            <w:right w:val="none" w:sz="0" w:space="0" w:color="auto"/>
          </w:divBdr>
        </w:div>
        <w:div w:id="1339890088">
          <w:marLeft w:val="0"/>
          <w:marRight w:val="0"/>
          <w:marTop w:val="0"/>
          <w:marBottom w:val="0"/>
          <w:divBdr>
            <w:top w:val="none" w:sz="0" w:space="0" w:color="auto"/>
            <w:left w:val="none" w:sz="0" w:space="0" w:color="auto"/>
            <w:bottom w:val="none" w:sz="0" w:space="0" w:color="auto"/>
            <w:right w:val="none" w:sz="0" w:space="0" w:color="auto"/>
          </w:divBdr>
        </w:div>
        <w:div w:id="1342010506">
          <w:marLeft w:val="0"/>
          <w:marRight w:val="0"/>
          <w:marTop w:val="0"/>
          <w:marBottom w:val="0"/>
          <w:divBdr>
            <w:top w:val="none" w:sz="0" w:space="0" w:color="auto"/>
            <w:left w:val="none" w:sz="0" w:space="0" w:color="auto"/>
            <w:bottom w:val="none" w:sz="0" w:space="0" w:color="auto"/>
            <w:right w:val="none" w:sz="0" w:space="0" w:color="auto"/>
          </w:divBdr>
        </w:div>
        <w:div w:id="1782646317">
          <w:marLeft w:val="0"/>
          <w:marRight w:val="0"/>
          <w:marTop w:val="0"/>
          <w:marBottom w:val="0"/>
          <w:divBdr>
            <w:top w:val="none" w:sz="0" w:space="0" w:color="auto"/>
            <w:left w:val="none" w:sz="0" w:space="0" w:color="auto"/>
            <w:bottom w:val="none" w:sz="0" w:space="0" w:color="auto"/>
            <w:right w:val="none" w:sz="0" w:space="0" w:color="auto"/>
          </w:divBdr>
        </w:div>
        <w:div w:id="1886719582">
          <w:marLeft w:val="0"/>
          <w:marRight w:val="0"/>
          <w:marTop w:val="0"/>
          <w:marBottom w:val="0"/>
          <w:divBdr>
            <w:top w:val="none" w:sz="0" w:space="0" w:color="auto"/>
            <w:left w:val="none" w:sz="0" w:space="0" w:color="auto"/>
            <w:bottom w:val="none" w:sz="0" w:space="0" w:color="auto"/>
            <w:right w:val="none" w:sz="0" w:space="0" w:color="auto"/>
          </w:divBdr>
        </w:div>
        <w:div w:id="623273600">
          <w:marLeft w:val="0"/>
          <w:marRight w:val="0"/>
          <w:marTop w:val="0"/>
          <w:marBottom w:val="0"/>
          <w:divBdr>
            <w:top w:val="none" w:sz="0" w:space="0" w:color="auto"/>
            <w:left w:val="none" w:sz="0" w:space="0" w:color="auto"/>
            <w:bottom w:val="none" w:sz="0" w:space="0" w:color="auto"/>
            <w:right w:val="none" w:sz="0" w:space="0" w:color="auto"/>
          </w:divBdr>
        </w:div>
        <w:div w:id="1652447872">
          <w:marLeft w:val="0"/>
          <w:marRight w:val="0"/>
          <w:marTop w:val="0"/>
          <w:marBottom w:val="0"/>
          <w:divBdr>
            <w:top w:val="none" w:sz="0" w:space="0" w:color="auto"/>
            <w:left w:val="none" w:sz="0" w:space="0" w:color="auto"/>
            <w:bottom w:val="none" w:sz="0" w:space="0" w:color="auto"/>
            <w:right w:val="none" w:sz="0" w:space="0" w:color="auto"/>
          </w:divBdr>
        </w:div>
        <w:div w:id="1947422663">
          <w:marLeft w:val="0"/>
          <w:marRight w:val="0"/>
          <w:marTop w:val="0"/>
          <w:marBottom w:val="0"/>
          <w:divBdr>
            <w:top w:val="none" w:sz="0" w:space="0" w:color="auto"/>
            <w:left w:val="none" w:sz="0" w:space="0" w:color="auto"/>
            <w:bottom w:val="none" w:sz="0" w:space="0" w:color="auto"/>
            <w:right w:val="none" w:sz="0" w:space="0" w:color="auto"/>
          </w:divBdr>
        </w:div>
        <w:div w:id="643202303">
          <w:marLeft w:val="0"/>
          <w:marRight w:val="0"/>
          <w:marTop w:val="0"/>
          <w:marBottom w:val="0"/>
          <w:divBdr>
            <w:top w:val="none" w:sz="0" w:space="0" w:color="auto"/>
            <w:left w:val="none" w:sz="0" w:space="0" w:color="auto"/>
            <w:bottom w:val="none" w:sz="0" w:space="0" w:color="auto"/>
            <w:right w:val="none" w:sz="0" w:space="0" w:color="auto"/>
          </w:divBdr>
        </w:div>
        <w:div w:id="2051103320">
          <w:marLeft w:val="0"/>
          <w:marRight w:val="0"/>
          <w:marTop w:val="0"/>
          <w:marBottom w:val="0"/>
          <w:divBdr>
            <w:top w:val="none" w:sz="0" w:space="0" w:color="auto"/>
            <w:left w:val="none" w:sz="0" w:space="0" w:color="auto"/>
            <w:bottom w:val="none" w:sz="0" w:space="0" w:color="auto"/>
            <w:right w:val="none" w:sz="0" w:space="0" w:color="auto"/>
          </w:divBdr>
        </w:div>
        <w:div w:id="2106608578">
          <w:marLeft w:val="0"/>
          <w:marRight w:val="0"/>
          <w:marTop w:val="0"/>
          <w:marBottom w:val="0"/>
          <w:divBdr>
            <w:top w:val="none" w:sz="0" w:space="0" w:color="auto"/>
            <w:left w:val="none" w:sz="0" w:space="0" w:color="auto"/>
            <w:bottom w:val="none" w:sz="0" w:space="0" w:color="auto"/>
            <w:right w:val="none" w:sz="0" w:space="0" w:color="auto"/>
          </w:divBdr>
        </w:div>
        <w:div w:id="1909001549">
          <w:marLeft w:val="0"/>
          <w:marRight w:val="0"/>
          <w:marTop w:val="0"/>
          <w:marBottom w:val="0"/>
          <w:divBdr>
            <w:top w:val="none" w:sz="0" w:space="0" w:color="auto"/>
            <w:left w:val="none" w:sz="0" w:space="0" w:color="auto"/>
            <w:bottom w:val="none" w:sz="0" w:space="0" w:color="auto"/>
            <w:right w:val="none" w:sz="0" w:space="0" w:color="auto"/>
          </w:divBdr>
        </w:div>
        <w:div w:id="1425152928">
          <w:marLeft w:val="0"/>
          <w:marRight w:val="0"/>
          <w:marTop w:val="0"/>
          <w:marBottom w:val="0"/>
          <w:divBdr>
            <w:top w:val="none" w:sz="0" w:space="0" w:color="auto"/>
            <w:left w:val="none" w:sz="0" w:space="0" w:color="auto"/>
            <w:bottom w:val="none" w:sz="0" w:space="0" w:color="auto"/>
            <w:right w:val="none" w:sz="0" w:space="0" w:color="auto"/>
          </w:divBdr>
        </w:div>
        <w:div w:id="1215236305">
          <w:marLeft w:val="0"/>
          <w:marRight w:val="0"/>
          <w:marTop w:val="0"/>
          <w:marBottom w:val="0"/>
          <w:divBdr>
            <w:top w:val="none" w:sz="0" w:space="0" w:color="auto"/>
            <w:left w:val="none" w:sz="0" w:space="0" w:color="auto"/>
            <w:bottom w:val="none" w:sz="0" w:space="0" w:color="auto"/>
            <w:right w:val="none" w:sz="0" w:space="0" w:color="auto"/>
          </w:divBdr>
        </w:div>
        <w:div w:id="1288588182">
          <w:marLeft w:val="0"/>
          <w:marRight w:val="0"/>
          <w:marTop w:val="0"/>
          <w:marBottom w:val="0"/>
          <w:divBdr>
            <w:top w:val="none" w:sz="0" w:space="0" w:color="auto"/>
            <w:left w:val="none" w:sz="0" w:space="0" w:color="auto"/>
            <w:bottom w:val="none" w:sz="0" w:space="0" w:color="auto"/>
            <w:right w:val="none" w:sz="0" w:space="0" w:color="auto"/>
          </w:divBdr>
        </w:div>
        <w:div w:id="1726642557">
          <w:marLeft w:val="0"/>
          <w:marRight w:val="0"/>
          <w:marTop w:val="0"/>
          <w:marBottom w:val="0"/>
          <w:divBdr>
            <w:top w:val="none" w:sz="0" w:space="0" w:color="auto"/>
            <w:left w:val="none" w:sz="0" w:space="0" w:color="auto"/>
            <w:bottom w:val="none" w:sz="0" w:space="0" w:color="auto"/>
            <w:right w:val="none" w:sz="0" w:space="0" w:color="auto"/>
          </w:divBdr>
        </w:div>
        <w:div w:id="1686251912">
          <w:marLeft w:val="0"/>
          <w:marRight w:val="0"/>
          <w:marTop w:val="0"/>
          <w:marBottom w:val="0"/>
          <w:divBdr>
            <w:top w:val="none" w:sz="0" w:space="0" w:color="auto"/>
            <w:left w:val="none" w:sz="0" w:space="0" w:color="auto"/>
            <w:bottom w:val="none" w:sz="0" w:space="0" w:color="auto"/>
            <w:right w:val="none" w:sz="0" w:space="0" w:color="auto"/>
          </w:divBdr>
        </w:div>
        <w:div w:id="1432512911">
          <w:marLeft w:val="0"/>
          <w:marRight w:val="0"/>
          <w:marTop w:val="0"/>
          <w:marBottom w:val="0"/>
          <w:divBdr>
            <w:top w:val="none" w:sz="0" w:space="0" w:color="auto"/>
            <w:left w:val="none" w:sz="0" w:space="0" w:color="auto"/>
            <w:bottom w:val="none" w:sz="0" w:space="0" w:color="auto"/>
            <w:right w:val="none" w:sz="0" w:space="0" w:color="auto"/>
          </w:divBdr>
        </w:div>
        <w:div w:id="774373571">
          <w:marLeft w:val="0"/>
          <w:marRight w:val="0"/>
          <w:marTop w:val="0"/>
          <w:marBottom w:val="0"/>
          <w:divBdr>
            <w:top w:val="none" w:sz="0" w:space="0" w:color="auto"/>
            <w:left w:val="none" w:sz="0" w:space="0" w:color="auto"/>
            <w:bottom w:val="none" w:sz="0" w:space="0" w:color="auto"/>
            <w:right w:val="none" w:sz="0" w:space="0" w:color="auto"/>
          </w:divBdr>
        </w:div>
        <w:div w:id="915433049">
          <w:marLeft w:val="0"/>
          <w:marRight w:val="0"/>
          <w:marTop w:val="0"/>
          <w:marBottom w:val="0"/>
          <w:divBdr>
            <w:top w:val="none" w:sz="0" w:space="0" w:color="auto"/>
            <w:left w:val="none" w:sz="0" w:space="0" w:color="auto"/>
            <w:bottom w:val="none" w:sz="0" w:space="0" w:color="auto"/>
            <w:right w:val="none" w:sz="0" w:space="0" w:color="auto"/>
          </w:divBdr>
        </w:div>
        <w:div w:id="2064132246">
          <w:marLeft w:val="0"/>
          <w:marRight w:val="0"/>
          <w:marTop w:val="0"/>
          <w:marBottom w:val="0"/>
          <w:divBdr>
            <w:top w:val="none" w:sz="0" w:space="0" w:color="auto"/>
            <w:left w:val="none" w:sz="0" w:space="0" w:color="auto"/>
            <w:bottom w:val="none" w:sz="0" w:space="0" w:color="auto"/>
            <w:right w:val="none" w:sz="0" w:space="0" w:color="auto"/>
          </w:divBdr>
        </w:div>
        <w:div w:id="276061665">
          <w:marLeft w:val="0"/>
          <w:marRight w:val="0"/>
          <w:marTop w:val="0"/>
          <w:marBottom w:val="0"/>
          <w:divBdr>
            <w:top w:val="none" w:sz="0" w:space="0" w:color="auto"/>
            <w:left w:val="none" w:sz="0" w:space="0" w:color="auto"/>
            <w:bottom w:val="none" w:sz="0" w:space="0" w:color="auto"/>
            <w:right w:val="none" w:sz="0" w:space="0" w:color="auto"/>
          </w:divBdr>
        </w:div>
        <w:div w:id="898900432">
          <w:marLeft w:val="0"/>
          <w:marRight w:val="0"/>
          <w:marTop w:val="0"/>
          <w:marBottom w:val="0"/>
          <w:divBdr>
            <w:top w:val="none" w:sz="0" w:space="0" w:color="auto"/>
            <w:left w:val="none" w:sz="0" w:space="0" w:color="auto"/>
            <w:bottom w:val="none" w:sz="0" w:space="0" w:color="auto"/>
            <w:right w:val="none" w:sz="0" w:space="0" w:color="auto"/>
          </w:divBdr>
        </w:div>
        <w:div w:id="1303072972">
          <w:marLeft w:val="0"/>
          <w:marRight w:val="0"/>
          <w:marTop w:val="0"/>
          <w:marBottom w:val="0"/>
          <w:divBdr>
            <w:top w:val="none" w:sz="0" w:space="0" w:color="auto"/>
            <w:left w:val="none" w:sz="0" w:space="0" w:color="auto"/>
            <w:bottom w:val="none" w:sz="0" w:space="0" w:color="auto"/>
            <w:right w:val="none" w:sz="0" w:space="0" w:color="auto"/>
          </w:divBdr>
        </w:div>
        <w:div w:id="1098797418">
          <w:marLeft w:val="0"/>
          <w:marRight w:val="0"/>
          <w:marTop w:val="0"/>
          <w:marBottom w:val="0"/>
          <w:divBdr>
            <w:top w:val="none" w:sz="0" w:space="0" w:color="auto"/>
            <w:left w:val="none" w:sz="0" w:space="0" w:color="auto"/>
            <w:bottom w:val="none" w:sz="0" w:space="0" w:color="auto"/>
            <w:right w:val="none" w:sz="0" w:space="0" w:color="auto"/>
          </w:divBdr>
        </w:div>
        <w:div w:id="1937668943">
          <w:marLeft w:val="0"/>
          <w:marRight w:val="0"/>
          <w:marTop w:val="0"/>
          <w:marBottom w:val="0"/>
          <w:divBdr>
            <w:top w:val="none" w:sz="0" w:space="0" w:color="auto"/>
            <w:left w:val="none" w:sz="0" w:space="0" w:color="auto"/>
            <w:bottom w:val="none" w:sz="0" w:space="0" w:color="auto"/>
            <w:right w:val="none" w:sz="0" w:space="0" w:color="auto"/>
          </w:divBdr>
        </w:div>
        <w:div w:id="1041901637">
          <w:marLeft w:val="0"/>
          <w:marRight w:val="0"/>
          <w:marTop w:val="0"/>
          <w:marBottom w:val="0"/>
          <w:divBdr>
            <w:top w:val="none" w:sz="0" w:space="0" w:color="auto"/>
            <w:left w:val="none" w:sz="0" w:space="0" w:color="auto"/>
            <w:bottom w:val="none" w:sz="0" w:space="0" w:color="auto"/>
            <w:right w:val="none" w:sz="0" w:space="0" w:color="auto"/>
          </w:divBdr>
        </w:div>
        <w:div w:id="1704330033">
          <w:marLeft w:val="0"/>
          <w:marRight w:val="0"/>
          <w:marTop w:val="0"/>
          <w:marBottom w:val="0"/>
          <w:divBdr>
            <w:top w:val="none" w:sz="0" w:space="0" w:color="auto"/>
            <w:left w:val="none" w:sz="0" w:space="0" w:color="auto"/>
            <w:bottom w:val="none" w:sz="0" w:space="0" w:color="auto"/>
            <w:right w:val="none" w:sz="0" w:space="0" w:color="auto"/>
          </w:divBdr>
        </w:div>
        <w:div w:id="1888375745">
          <w:marLeft w:val="0"/>
          <w:marRight w:val="0"/>
          <w:marTop w:val="0"/>
          <w:marBottom w:val="0"/>
          <w:divBdr>
            <w:top w:val="none" w:sz="0" w:space="0" w:color="auto"/>
            <w:left w:val="none" w:sz="0" w:space="0" w:color="auto"/>
            <w:bottom w:val="none" w:sz="0" w:space="0" w:color="auto"/>
            <w:right w:val="none" w:sz="0" w:space="0" w:color="auto"/>
          </w:divBdr>
        </w:div>
        <w:div w:id="1163082653">
          <w:marLeft w:val="0"/>
          <w:marRight w:val="0"/>
          <w:marTop w:val="0"/>
          <w:marBottom w:val="0"/>
          <w:divBdr>
            <w:top w:val="none" w:sz="0" w:space="0" w:color="auto"/>
            <w:left w:val="none" w:sz="0" w:space="0" w:color="auto"/>
            <w:bottom w:val="none" w:sz="0" w:space="0" w:color="auto"/>
            <w:right w:val="none" w:sz="0" w:space="0" w:color="auto"/>
          </w:divBdr>
        </w:div>
        <w:div w:id="2127456612">
          <w:marLeft w:val="0"/>
          <w:marRight w:val="0"/>
          <w:marTop w:val="0"/>
          <w:marBottom w:val="0"/>
          <w:divBdr>
            <w:top w:val="none" w:sz="0" w:space="0" w:color="auto"/>
            <w:left w:val="none" w:sz="0" w:space="0" w:color="auto"/>
            <w:bottom w:val="none" w:sz="0" w:space="0" w:color="auto"/>
            <w:right w:val="none" w:sz="0" w:space="0" w:color="auto"/>
          </w:divBdr>
        </w:div>
        <w:div w:id="950940792">
          <w:marLeft w:val="0"/>
          <w:marRight w:val="0"/>
          <w:marTop w:val="0"/>
          <w:marBottom w:val="0"/>
          <w:divBdr>
            <w:top w:val="none" w:sz="0" w:space="0" w:color="auto"/>
            <w:left w:val="none" w:sz="0" w:space="0" w:color="auto"/>
            <w:bottom w:val="none" w:sz="0" w:space="0" w:color="auto"/>
            <w:right w:val="none" w:sz="0" w:space="0" w:color="auto"/>
          </w:divBdr>
        </w:div>
        <w:div w:id="2090731585">
          <w:marLeft w:val="0"/>
          <w:marRight w:val="0"/>
          <w:marTop w:val="0"/>
          <w:marBottom w:val="0"/>
          <w:divBdr>
            <w:top w:val="none" w:sz="0" w:space="0" w:color="auto"/>
            <w:left w:val="none" w:sz="0" w:space="0" w:color="auto"/>
            <w:bottom w:val="none" w:sz="0" w:space="0" w:color="auto"/>
            <w:right w:val="none" w:sz="0" w:space="0" w:color="auto"/>
          </w:divBdr>
        </w:div>
        <w:div w:id="701634957">
          <w:marLeft w:val="0"/>
          <w:marRight w:val="0"/>
          <w:marTop w:val="0"/>
          <w:marBottom w:val="0"/>
          <w:divBdr>
            <w:top w:val="none" w:sz="0" w:space="0" w:color="auto"/>
            <w:left w:val="none" w:sz="0" w:space="0" w:color="auto"/>
            <w:bottom w:val="none" w:sz="0" w:space="0" w:color="auto"/>
            <w:right w:val="none" w:sz="0" w:space="0" w:color="auto"/>
          </w:divBdr>
        </w:div>
        <w:div w:id="874000451">
          <w:marLeft w:val="0"/>
          <w:marRight w:val="0"/>
          <w:marTop w:val="0"/>
          <w:marBottom w:val="0"/>
          <w:divBdr>
            <w:top w:val="none" w:sz="0" w:space="0" w:color="auto"/>
            <w:left w:val="none" w:sz="0" w:space="0" w:color="auto"/>
            <w:bottom w:val="none" w:sz="0" w:space="0" w:color="auto"/>
            <w:right w:val="none" w:sz="0" w:space="0" w:color="auto"/>
          </w:divBdr>
        </w:div>
        <w:div w:id="324090913">
          <w:marLeft w:val="0"/>
          <w:marRight w:val="0"/>
          <w:marTop w:val="0"/>
          <w:marBottom w:val="0"/>
          <w:divBdr>
            <w:top w:val="none" w:sz="0" w:space="0" w:color="auto"/>
            <w:left w:val="none" w:sz="0" w:space="0" w:color="auto"/>
            <w:bottom w:val="none" w:sz="0" w:space="0" w:color="auto"/>
            <w:right w:val="none" w:sz="0" w:space="0" w:color="auto"/>
          </w:divBdr>
        </w:div>
        <w:div w:id="1556352386">
          <w:marLeft w:val="0"/>
          <w:marRight w:val="0"/>
          <w:marTop w:val="0"/>
          <w:marBottom w:val="0"/>
          <w:divBdr>
            <w:top w:val="none" w:sz="0" w:space="0" w:color="auto"/>
            <w:left w:val="none" w:sz="0" w:space="0" w:color="auto"/>
            <w:bottom w:val="none" w:sz="0" w:space="0" w:color="auto"/>
            <w:right w:val="none" w:sz="0" w:space="0" w:color="auto"/>
          </w:divBdr>
        </w:div>
        <w:div w:id="1328248805">
          <w:marLeft w:val="0"/>
          <w:marRight w:val="0"/>
          <w:marTop w:val="0"/>
          <w:marBottom w:val="0"/>
          <w:divBdr>
            <w:top w:val="none" w:sz="0" w:space="0" w:color="auto"/>
            <w:left w:val="none" w:sz="0" w:space="0" w:color="auto"/>
            <w:bottom w:val="none" w:sz="0" w:space="0" w:color="auto"/>
            <w:right w:val="none" w:sz="0" w:space="0" w:color="auto"/>
          </w:divBdr>
        </w:div>
        <w:div w:id="1244755953">
          <w:marLeft w:val="0"/>
          <w:marRight w:val="0"/>
          <w:marTop w:val="0"/>
          <w:marBottom w:val="0"/>
          <w:divBdr>
            <w:top w:val="none" w:sz="0" w:space="0" w:color="auto"/>
            <w:left w:val="none" w:sz="0" w:space="0" w:color="auto"/>
            <w:bottom w:val="none" w:sz="0" w:space="0" w:color="auto"/>
            <w:right w:val="none" w:sz="0" w:space="0" w:color="auto"/>
          </w:divBdr>
        </w:div>
        <w:div w:id="309597430">
          <w:marLeft w:val="0"/>
          <w:marRight w:val="0"/>
          <w:marTop w:val="0"/>
          <w:marBottom w:val="0"/>
          <w:divBdr>
            <w:top w:val="none" w:sz="0" w:space="0" w:color="auto"/>
            <w:left w:val="none" w:sz="0" w:space="0" w:color="auto"/>
            <w:bottom w:val="none" w:sz="0" w:space="0" w:color="auto"/>
            <w:right w:val="none" w:sz="0" w:space="0" w:color="auto"/>
          </w:divBdr>
        </w:div>
        <w:div w:id="664436001">
          <w:marLeft w:val="0"/>
          <w:marRight w:val="0"/>
          <w:marTop w:val="0"/>
          <w:marBottom w:val="0"/>
          <w:divBdr>
            <w:top w:val="none" w:sz="0" w:space="0" w:color="auto"/>
            <w:left w:val="none" w:sz="0" w:space="0" w:color="auto"/>
            <w:bottom w:val="none" w:sz="0" w:space="0" w:color="auto"/>
            <w:right w:val="none" w:sz="0" w:space="0" w:color="auto"/>
          </w:divBdr>
        </w:div>
        <w:div w:id="1971472528">
          <w:marLeft w:val="0"/>
          <w:marRight w:val="0"/>
          <w:marTop w:val="0"/>
          <w:marBottom w:val="0"/>
          <w:divBdr>
            <w:top w:val="none" w:sz="0" w:space="0" w:color="auto"/>
            <w:left w:val="none" w:sz="0" w:space="0" w:color="auto"/>
            <w:bottom w:val="none" w:sz="0" w:space="0" w:color="auto"/>
            <w:right w:val="none" w:sz="0" w:space="0" w:color="auto"/>
          </w:divBdr>
        </w:div>
        <w:div w:id="1469467691">
          <w:marLeft w:val="0"/>
          <w:marRight w:val="0"/>
          <w:marTop w:val="0"/>
          <w:marBottom w:val="0"/>
          <w:divBdr>
            <w:top w:val="none" w:sz="0" w:space="0" w:color="auto"/>
            <w:left w:val="none" w:sz="0" w:space="0" w:color="auto"/>
            <w:bottom w:val="none" w:sz="0" w:space="0" w:color="auto"/>
            <w:right w:val="none" w:sz="0" w:space="0" w:color="auto"/>
          </w:divBdr>
        </w:div>
        <w:div w:id="996568137">
          <w:marLeft w:val="0"/>
          <w:marRight w:val="0"/>
          <w:marTop w:val="0"/>
          <w:marBottom w:val="0"/>
          <w:divBdr>
            <w:top w:val="none" w:sz="0" w:space="0" w:color="auto"/>
            <w:left w:val="none" w:sz="0" w:space="0" w:color="auto"/>
            <w:bottom w:val="none" w:sz="0" w:space="0" w:color="auto"/>
            <w:right w:val="none" w:sz="0" w:space="0" w:color="auto"/>
          </w:divBdr>
        </w:div>
        <w:div w:id="1399208127">
          <w:marLeft w:val="0"/>
          <w:marRight w:val="0"/>
          <w:marTop w:val="0"/>
          <w:marBottom w:val="0"/>
          <w:divBdr>
            <w:top w:val="none" w:sz="0" w:space="0" w:color="auto"/>
            <w:left w:val="none" w:sz="0" w:space="0" w:color="auto"/>
            <w:bottom w:val="none" w:sz="0" w:space="0" w:color="auto"/>
            <w:right w:val="none" w:sz="0" w:space="0" w:color="auto"/>
          </w:divBdr>
        </w:div>
        <w:div w:id="467557163">
          <w:marLeft w:val="0"/>
          <w:marRight w:val="0"/>
          <w:marTop w:val="0"/>
          <w:marBottom w:val="0"/>
          <w:divBdr>
            <w:top w:val="none" w:sz="0" w:space="0" w:color="auto"/>
            <w:left w:val="none" w:sz="0" w:space="0" w:color="auto"/>
            <w:bottom w:val="none" w:sz="0" w:space="0" w:color="auto"/>
            <w:right w:val="none" w:sz="0" w:space="0" w:color="auto"/>
          </w:divBdr>
        </w:div>
        <w:div w:id="582955944">
          <w:marLeft w:val="0"/>
          <w:marRight w:val="0"/>
          <w:marTop w:val="0"/>
          <w:marBottom w:val="0"/>
          <w:divBdr>
            <w:top w:val="none" w:sz="0" w:space="0" w:color="auto"/>
            <w:left w:val="none" w:sz="0" w:space="0" w:color="auto"/>
            <w:bottom w:val="none" w:sz="0" w:space="0" w:color="auto"/>
            <w:right w:val="none" w:sz="0" w:space="0" w:color="auto"/>
          </w:divBdr>
        </w:div>
        <w:div w:id="1523545587">
          <w:marLeft w:val="0"/>
          <w:marRight w:val="0"/>
          <w:marTop w:val="0"/>
          <w:marBottom w:val="0"/>
          <w:divBdr>
            <w:top w:val="none" w:sz="0" w:space="0" w:color="auto"/>
            <w:left w:val="none" w:sz="0" w:space="0" w:color="auto"/>
            <w:bottom w:val="none" w:sz="0" w:space="0" w:color="auto"/>
            <w:right w:val="none" w:sz="0" w:space="0" w:color="auto"/>
          </w:divBdr>
        </w:div>
        <w:div w:id="230888172">
          <w:marLeft w:val="0"/>
          <w:marRight w:val="0"/>
          <w:marTop w:val="0"/>
          <w:marBottom w:val="0"/>
          <w:divBdr>
            <w:top w:val="none" w:sz="0" w:space="0" w:color="auto"/>
            <w:left w:val="none" w:sz="0" w:space="0" w:color="auto"/>
            <w:bottom w:val="none" w:sz="0" w:space="0" w:color="auto"/>
            <w:right w:val="none" w:sz="0" w:space="0" w:color="auto"/>
          </w:divBdr>
        </w:div>
        <w:div w:id="141586200">
          <w:marLeft w:val="0"/>
          <w:marRight w:val="0"/>
          <w:marTop w:val="0"/>
          <w:marBottom w:val="0"/>
          <w:divBdr>
            <w:top w:val="none" w:sz="0" w:space="0" w:color="auto"/>
            <w:left w:val="none" w:sz="0" w:space="0" w:color="auto"/>
            <w:bottom w:val="none" w:sz="0" w:space="0" w:color="auto"/>
            <w:right w:val="none" w:sz="0" w:space="0" w:color="auto"/>
          </w:divBdr>
        </w:div>
        <w:div w:id="520243464">
          <w:marLeft w:val="0"/>
          <w:marRight w:val="0"/>
          <w:marTop w:val="0"/>
          <w:marBottom w:val="0"/>
          <w:divBdr>
            <w:top w:val="none" w:sz="0" w:space="0" w:color="auto"/>
            <w:left w:val="none" w:sz="0" w:space="0" w:color="auto"/>
            <w:bottom w:val="none" w:sz="0" w:space="0" w:color="auto"/>
            <w:right w:val="none" w:sz="0" w:space="0" w:color="auto"/>
          </w:divBdr>
        </w:div>
        <w:div w:id="1601374340">
          <w:marLeft w:val="0"/>
          <w:marRight w:val="0"/>
          <w:marTop w:val="0"/>
          <w:marBottom w:val="0"/>
          <w:divBdr>
            <w:top w:val="none" w:sz="0" w:space="0" w:color="auto"/>
            <w:left w:val="none" w:sz="0" w:space="0" w:color="auto"/>
            <w:bottom w:val="none" w:sz="0" w:space="0" w:color="auto"/>
            <w:right w:val="none" w:sz="0" w:space="0" w:color="auto"/>
          </w:divBdr>
        </w:div>
        <w:div w:id="874973412">
          <w:marLeft w:val="0"/>
          <w:marRight w:val="0"/>
          <w:marTop w:val="0"/>
          <w:marBottom w:val="0"/>
          <w:divBdr>
            <w:top w:val="none" w:sz="0" w:space="0" w:color="auto"/>
            <w:left w:val="none" w:sz="0" w:space="0" w:color="auto"/>
            <w:bottom w:val="none" w:sz="0" w:space="0" w:color="auto"/>
            <w:right w:val="none" w:sz="0" w:space="0" w:color="auto"/>
          </w:divBdr>
        </w:div>
        <w:div w:id="657536785">
          <w:marLeft w:val="0"/>
          <w:marRight w:val="0"/>
          <w:marTop w:val="0"/>
          <w:marBottom w:val="0"/>
          <w:divBdr>
            <w:top w:val="none" w:sz="0" w:space="0" w:color="auto"/>
            <w:left w:val="none" w:sz="0" w:space="0" w:color="auto"/>
            <w:bottom w:val="none" w:sz="0" w:space="0" w:color="auto"/>
            <w:right w:val="none" w:sz="0" w:space="0" w:color="auto"/>
          </w:divBdr>
        </w:div>
        <w:div w:id="257252039">
          <w:marLeft w:val="0"/>
          <w:marRight w:val="0"/>
          <w:marTop w:val="0"/>
          <w:marBottom w:val="0"/>
          <w:divBdr>
            <w:top w:val="none" w:sz="0" w:space="0" w:color="auto"/>
            <w:left w:val="none" w:sz="0" w:space="0" w:color="auto"/>
            <w:bottom w:val="none" w:sz="0" w:space="0" w:color="auto"/>
            <w:right w:val="none" w:sz="0" w:space="0" w:color="auto"/>
          </w:divBdr>
        </w:div>
        <w:div w:id="792402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Rooney</dc:creator>
  <cp:keywords/>
  <dc:description/>
  <cp:lastModifiedBy>Jennifer Rooney</cp:lastModifiedBy>
  <cp:revision>151</cp:revision>
  <dcterms:created xsi:type="dcterms:W3CDTF">2023-11-18T21:29:00Z</dcterms:created>
  <dcterms:modified xsi:type="dcterms:W3CDTF">2023-11-20T20:27:00Z</dcterms:modified>
</cp:coreProperties>
</file>