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proofErr w:type="gramStart"/>
      <w:r>
        <w:rPr>
          <w:rFonts w:ascii="黑体" w:eastAsia="黑体" w:hint="eastAsia"/>
          <w:b/>
          <w:sz w:val="32"/>
          <w:szCs w:val="32"/>
        </w:rPr>
        <w:t>基于谷歌</w:t>
      </w:r>
      <w:r w:rsidR="00551F0E">
        <w:rPr>
          <w:rFonts w:ascii="黑体" w:eastAsia="黑体" w:hint="eastAsia"/>
          <w:b/>
          <w:sz w:val="32"/>
          <w:szCs w:val="32"/>
        </w:rPr>
        <w:t>中文</w:t>
      </w:r>
      <w:proofErr w:type="gramEnd"/>
      <w:r w:rsidR="00551F0E">
        <w:rPr>
          <w:rFonts w:ascii="黑体" w:eastAsia="黑体" w:hint="eastAsia"/>
          <w:b/>
          <w:sz w:val="32"/>
          <w:szCs w:val="32"/>
        </w:rPr>
        <w:t>图书语料</w:t>
      </w:r>
      <w:r>
        <w:rPr>
          <w:rFonts w:ascii="黑体" w:eastAsia="黑体" w:hint="eastAsia"/>
          <w:b/>
          <w:sz w:val="32"/>
          <w:szCs w:val="32"/>
        </w:rPr>
        <w:t>库的分析</w:t>
      </w:r>
    </w:p>
    <w:p w:rsidR="00551F0E" w:rsidRDefault="00551F0E" w:rsidP="009D37DB">
      <w:pPr>
        <w:spacing w:line="276" w:lineRule="auto"/>
        <w:rPr>
          <w:rFonts w:ascii="黑体" w:eastAsia="黑体" w:hint="eastAsia"/>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hint="eastAsia"/>
          <w:szCs w:val="21"/>
        </w:rPr>
      </w:pPr>
      <w:r>
        <w:rPr>
          <w:rFonts w:ascii="黑体" w:eastAsia="黑体" w:hint="eastAsia"/>
          <w:b/>
          <w:sz w:val="28"/>
          <w:szCs w:val="28"/>
        </w:rPr>
        <w:tab/>
      </w:r>
      <w:r w:rsidRPr="00A614B4">
        <w:rPr>
          <w:rFonts w:asciiTheme="minorEastAsia" w:hAnsiTheme="minorEastAsia" w:hint="eastAsia"/>
          <w:szCs w:val="21"/>
        </w:rPr>
        <w:t>本研究</w:t>
      </w:r>
      <w:proofErr w:type="gramStart"/>
      <w:r w:rsidRPr="00A614B4">
        <w:rPr>
          <w:rFonts w:asciiTheme="minorEastAsia" w:hAnsiTheme="minorEastAsia" w:hint="eastAsia"/>
          <w:szCs w:val="21"/>
        </w:rPr>
        <w:t>使用谷歌中文</w:t>
      </w:r>
      <w:proofErr w:type="gramEnd"/>
      <w:r w:rsidRPr="00A614B4">
        <w:rPr>
          <w:rFonts w:asciiTheme="minorEastAsia" w:hAnsiTheme="minorEastAsia" w:hint="eastAsia"/>
          <w:szCs w:val="21"/>
        </w:rPr>
        <w:t>图书语料库数据，依据《知网》情感分析用词语表对历年积极情感词语和消极情感词语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频次进行统计并计算历年的情感分值</w:t>
      </w:r>
      <w:r>
        <w:rPr>
          <w:rFonts w:asciiTheme="minorEastAsia" w:hAnsiTheme="minorEastAsia" w:hint="eastAsia"/>
          <w:szCs w:val="21"/>
        </w:rPr>
        <w:t>，发现情感分值的两个峰值分别对应中国近代历史的两个重要历史事件。采用层次聚类法对情感词语的频次矩阵进行聚类分析，发现聚类得出的五个聚集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大致对应于近代历史的五个</w:t>
      </w:r>
      <w:r w:rsidR="006358DF">
        <w:rPr>
          <w:rFonts w:asciiTheme="minorEastAsia" w:hAnsiTheme="minorEastAsia" w:hint="eastAsia"/>
          <w:szCs w:val="21"/>
        </w:rPr>
        <w:t>独特时期。以及构建一个基于情感</w:t>
      </w:r>
      <w:proofErr w:type="gramStart"/>
      <w:r w:rsidR="006358DF">
        <w:rPr>
          <w:rFonts w:asciiTheme="minorEastAsia" w:hAnsiTheme="minorEastAsia" w:hint="eastAsia"/>
          <w:szCs w:val="21"/>
        </w:rPr>
        <w:t>词使用</w:t>
      </w:r>
      <w:proofErr w:type="gramEnd"/>
      <w:r w:rsidR="006358DF">
        <w:rPr>
          <w:rFonts w:asciiTheme="minorEastAsia" w:hAnsiTheme="minorEastAsia" w:hint="eastAsia"/>
          <w:szCs w:val="21"/>
        </w:rPr>
        <w:t>频次的分类树模型，可用于对特定年份所属历史时期进行判断。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F875BD" w:rsidP="009D37DB">
      <w:pPr>
        <w:spacing w:line="276" w:lineRule="auto"/>
        <w:ind w:firstLine="420"/>
      </w:pPr>
      <w:r>
        <w:rPr>
          <w:rFonts w:hint="eastAsia"/>
        </w:rPr>
        <w:t>记录着人类行为的数据正在数据量和数据可获取性两方面飞速地发展着，这</w:t>
      </w:r>
      <w:r w:rsidR="001E03B3">
        <w:rPr>
          <w:rFonts w:hint="eastAsia"/>
        </w:rPr>
        <w:t>样的</w:t>
      </w:r>
      <w:r w:rsidR="00543CC4">
        <w:rPr>
          <w:rFonts w:hint="eastAsia"/>
        </w:rPr>
        <w:t>大数据</w:t>
      </w:r>
      <w:r>
        <w:rPr>
          <w:rFonts w:hint="eastAsia"/>
        </w:rPr>
        <w:t>正在改变着人们对社会和文化变革</w:t>
      </w:r>
      <w:r w:rsidR="00F12413">
        <w:rPr>
          <w:rFonts w:hint="eastAsia"/>
        </w:rPr>
        <w:t>进行</w:t>
      </w:r>
      <w:r>
        <w:rPr>
          <w:rFonts w:hint="eastAsia"/>
        </w:rPr>
        <w:t>研究</w:t>
      </w:r>
      <w:r w:rsidR="00F12413">
        <w:rPr>
          <w:rFonts w:hint="eastAsia"/>
        </w:rPr>
        <w:t>的</w:t>
      </w:r>
      <w:r>
        <w:rPr>
          <w:rFonts w:hint="eastAsia"/>
        </w:rPr>
        <w:t>方式</w:t>
      </w:r>
      <w:r w:rsidR="00543CC4">
        <w:rPr>
          <w:rFonts w:hint="eastAsia"/>
        </w:rPr>
        <w:t>，使得更多人类社会的未解之</w:t>
      </w:r>
      <w:proofErr w:type="gramStart"/>
      <w:r w:rsidR="00543CC4">
        <w:rPr>
          <w:rFonts w:hint="eastAsia"/>
        </w:rPr>
        <w:t>谜</w:t>
      </w:r>
      <w:proofErr w:type="gramEnd"/>
      <w:r w:rsidR="00543CC4">
        <w:rPr>
          <w:rFonts w:hint="eastAsia"/>
        </w:rPr>
        <w:t>有望能科学地被人们理解</w:t>
      </w:r>
      <w:r>
        <w:rPr>
          <w:rFonts w:hint="eastAsia"/>
        </w:rPr>
        <w:t>。</w:t>
      </w:r>
      <w:r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A15D9A">
        <w:rPr>
          <w:rFonts w:hint="eastAsia"/>
        </w:rPr>
        <w:t>在这种研究范式下，数据不仅是可重用的，即将原本的数据按照原本的研究意图再次使用一次，而且也是可再利用的，即将原本的数据用于新的研究意图。</w:t>
      </w:r>
    </w:p>
    <w:p w:rsidR="004B45B0" w:rsidRDefault="004B45B0" w:rsidP="009D37DB">
      <w:pPr>
        <w:spacing w:line="276" w:lineRule="auto"/>
        <w:ind w:firstLine="420"/>
      </w:pPr>
      <w:r>
        <w:rPr>
          <w:rFonts w:hint="eastAsia"/>
        </w:rPr>
        <w:t>各个领域中新出现将已有数据再利用于新问题的案例中，既有针对短时间和少量数据的研究，也有针对长时间跨度和大量数据的研究，但在两种不同类型的研究中，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proofErr w:type="gramStart"/>
      <w:r w:rsidR="007F1472">
        <w:rPr>
          <w:rFonts w:hint="eastAsia"/>
        </w:rPr>
        <w:t>谷歌的</w:t>
      </w:r>
      <w:proofErr w:type="gramEnd"/>
      <w:r w:rsidR="007F1472">
        <w:rPr>
          <w:rFonts w:hint="eastAsia"/>
        </w:rPr>
        <w:t>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w:t>
      </w:r>
      <w:proofErr w:type="gramStart"/>
      <w:r w:rsidR="00470631">
        <w:rPr>
          <w:rFonts w:hint="eastAsia"/>
        </w:rPr>
        <w:t>微博上</w:t>
      </w:r>
      <w:proofErr w:type="gramEnd"/>
      <w:r w:rsidR="00470631">
        <w:rPr>
          <w:rFonts w:hint="eastAsia"/>
        </w:rPr>
        <w:t>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w:t>
      </w:r>
      <w:proofErr w:type="gramStart"/>
      <w:r w:rsidR="00470631">
        <w:rPr>
          <w:rFonts w:hint="eastAsia"/>
        </w:rPr>
        <w:t>利用谷歌</w:t>
      </w:r>
      <w:r w:rsidR="00194E5E">
        <w:rPr>
          <w:rFonts w:hint="eastAsia"/>
        </w:rPr>
        <w:t>英文</w:t>
      </w:r>
      <w:proofErr w:type="gramEnd"/>
      <w:r w:rsidR="00194E5E">
        <w:rPr>
          <w:rFonts w:hint="eastAsia"/>
        </w:rPr>
        <w:t>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w:t>
      </w:r>
      <w:proofErr w:type="gramStart"/>
      <w:r w:rsidR="00194E5E">
        <w:rPr>
          <w:rFonts w:hint="eastAsia"/>
        </w:rPr>
        <w:t>对谷歌英文</w:t>
      </w:r>
      <w:proofErr w:type="gramEnd"/>
      <w:r w:rsidR="00194E5E">
        <w:rPr>
          <w:rFonts w:hint="eastAsia"/>
        </w:rPr>
        <w:t>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w:t>
      </w:r>
      <w:proofErr w:type="gramStart"/>
      <w:r w:rsidR="00194E5E">
        <w:rPr>
          <w:rFonts w:hint="eastAsia"/>
        </w:rPr>
        <w:t>馆项目</w:t>
      </w:r>
      <w:proofErr w:type="gramEnd"/>
      <w:r w:rsidR="00194E5E">
        <w:rPr>
          <w:rFonts w:hint="eastAsia"/>
        </w:rPr>
        <w:t>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proofErr w:type="gramStart"/>
      <w:r w:rsidR="00CF6D18">
        <w:rPr>
          <w:rFonts w:hint="eastAsia"/>
        </w:rPr>
        <w:t>使用谷歌中文</w:t>
      </w:r>
      <w:proofErr w:type="gramEnd"/>
      <w:r w:rsidR="00CF6D18">
        <w:rPr>
          <w:rFonts w:hint="eastAsia"/>
        </w:rPr>
        <w:t>图书</w:t>
      </w:r>
      <w:proofErr w:type="spellStart"/>
      <w:r w:rsidR="00551F0E">
        <w:rPr>
          <w:rFonts w:ascii="Times New Roman" w:hAnsi="Times New Roman" w:cs="Times New Roman"/>
        </w:rPr>
        <w:t>N</w:t>
      </w:r>
      <w:r w:rsidR="00CF6D18" w:rsidRPr="00551F0E">
        <w:rPr>
          <w:rFonts w:ascii="Times New Roman" w:hAnsi="Times New Roman" w:cs="Times New Roman"/>
        </w:rPr>
        <w:t>gram</w:t>
      </w:r>
      <w:proofErr w:type="spellEnd"/>
      <w:r w:rsidR="00CF6D18">
        <w:rPr>
          <w:rFonts w:hint="eastAsia"/>
        </w:rPr>
        <w:t>数据库，尝试</w:t>
      </w:r>
      <w:r>
        <w:rPr>
          <w:rFonts w:hint="eastAsia"/>
        </w:rPr>
        <w:t>去</w:t>
      </w:r>
      <w:r w:rsidR="00CF6D18">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,并在之后逐年回升，该底谷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w:t>
      </w:r>
      <w:r w:rsidR="0032382A">
        <w:rPr>
          <w:rFonts w:asciiTheme="minorEastAsia" w:hAnsiTheme="minorEastAsia" w:hint="eastAsia"/>
          <w:szCs w:val="21"/>
        </w:rPr>
        <w:lastRenderedPageBreak/>
        <w:t>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hint="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hint="eastAsia"/>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最后，如图6所示，若我们用某年情感词语使用频次预测该年属于哪一个聚集，使用L1正则化的多项回归模型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达到最高预测准确率，使用3个词至13个词均在1个标准差之内。采用5个情感词语构建一个分类树模型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用于预测年份所属聚集，结果发现采用“好”、“惊讶”、“愿意”、“爱护”和“关注”5个词语所构建的分类树模型达到99%的准确率。</w:t>
      </w:r>
      <w:r w:rsidR="006358DF">
        <w:rPr>
          <w:rFonts w:asciiTheme="minorEastAsia" w:hAnsiTheme="minorEastAsia" w:hint="eastAsia"/>
          <w:szCs w:val="21"/>
        </w:rPr>
        <w:t>利用该分类树模型对2001年至2009年的数据进行分类判断，发现其中7年均属于聚集5。</w:t>
      </w:r>
    </w:p>
    <w:p w:rsidR="00551F0E" w:rsidRDefault="00551F0E" w:rsidP="009D37DB">
      <w:pPr>
        <w:spacing w:line="276" w:lineRule="auto"/>
        <w:rPr>
          <w:rFonts w:ascii="黑体" w:eastAsia="黑体" w:hint="eastAsia"/>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hint="eastAsia"/>
          <w:szCs w:val="21"/>
        </w:rPr>
      </w:pPr>
      <w:r>
        <w:rPr>
          <w:rFonts w:ascii="黑体" w:eastAsia="黑体" w:hint="eastAsia"/>
          <w:b/>
          <w:sz w:val="28"/>
          <w:szCs w:val="28"/>
        </w:rPr>
        <w:tab/>
      </w:r>
      <w:r w:rsidR="008F5340">
        <w:rPr>
          <w:rFonts w:asciiTheme="minorEastAsia" w:hAnsiTheme="minorEastAsia" w:hint="eastAsia"/>
          <w:szCs w:val="21"/>
        </w:rPr>
        <w:t>本研究发现，在没有任何历史知识的情况下，仅仅</w:t>
      </w:r>
      <w:proofErr w:type="gramStart"/>
      <w:r w:rsidR="008F5340">
        <w:rPr>
          <w:rFonts w:asciiTheme="minorEastAsia" w:hAnsiTheme="minorEastAsia" w:hint="eastAsia"/>
          <w:szCs w:val="21"/>
        </w:rPr>
        <w:t>通过谷歌中文</w:t>
      </w:r>
      <w:proofErr w:type="gramEnd"/>
      <w:r w:rsidR="008F5340">
        <w:rPr>
          <w:rFonts w:asciiTheme="minorEastAsia" w:hAnsiTheme="minorEastAsia" w:hint="eastAsia"/>
          <w:szCs w:val="21"/>
        </w:rPr>
        <w:t>图书语料库数据中情感词语的频次分布，研究者就可以找出历史时期的关键时间节点，并对历史时期进行有意义地划分。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分析过程中不需要任何领域知识，并且不需要任何人为的主观判断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关键历史时间节点的发现和历史时期的划分都由大数据本身提供。</w:t>
      </w:r>
    </w:p>
    <w:p w:rsidR="00A614B4" w:rsidRDefault="00A614B4" w:rsidP="009D37DB">
      <w:pPr>
        <w:spacing w:line="276" w:lineRule="auto"/>
        <w:rPr>
          <w:rFonts w:ascii="黑体" w:eastAsia="黑体"/>
          <w:b/>
          <w:sz w:val="28"/>
          <w:szCs w:val="28"/>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有很多成功的案例，但也有其不可忽视的缺陷。首先，作者将对社会和历史的看法和意见撰写并出版成书的过程需要时间，即从图书中反映出的社会变化相对于真实的历史时间存在一个滞后。其次，</w:t>
      </w:r>
      <w:r w:rsidR="00A16EFE">
        <w:rPr>
          <w:rFonts w:asciiTheme="minorEastAsia" w:hAnsiTheme="minorEastAsia" w:hint="eastAsia"/>
          <w:szCs w:val="21"/>
        </w:rPr>
        <w:t>图书中反映的社会变化可能存在偏差，</w:t>
      </w:r>
      <w:r w:rsidR="009B2432">
        <w:rPr>
          <w:rFonts w:asciiTheme="minorEastAsia" w:hAnsiTheme="minorEastAsia" w:hint="eastAsia"/>
          <w:szCs w:val="21"/>
        </w:rPr>
        <w:t>图书</w:t>
      </w:r>
      <w:r w:rsidR="00A16EFE">
        <w:rPr>
          <w:rFonts w:asciiTheme="minorEastAsia" w:hAnsiTheme="minorEastAsia" w:hint="eastAsia"/>
          <w:szCs w:val="21"/>
        </w:rPr>
        <w:t>作者没有义务将对社会变革的观察如实地付诸文字，并且作者群体也不能完美地代表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proofErr w:type="gramStart"/>
      <w:r w:rsidRPr="00551F0E">
        <w:rPr>
          <w:rFonts w:asciiTheme="minorEastAsia" w:hAnsiTheme="minorEastAsia" w:hint="eastAsia"/>
          <w:szCs w:val="21"/>
        </w:rPr>
        <w:t>谷歌</w:t>
      </w:r>
      <w:r>
        <w:rPr>
          <w:rFonts w:asciiTheme="minorEastAsia" w:hAnsiTheme="minorEastAsia" w:hint="eastAsia"/>
          <w:szCs w:val="21"/>
        </w:rPr>
        <w:t>中文</w:t>
      </w:r>
      <w:proofErr w:type="gramEnd"/>
      <w:r>
        <w:rPr>
          <w:rFonts w:asciiTheme="minorEastAsia" w:hAnsiTheme="minorEastAsia" w:hint="eastAsia"/>
          <w:szCs w:val="21"/>
        </w:rPr>
        <w:t>图书</w:t>
      </w:r>
      <w:proofErr w:type="spellStart"/>
      <w:r w:rsidRPr="00551F0E">
        <w:rPr>
          <w:rFonts w:ascii="Times New Roman" w:hAnsi="Times New Roman" w:cs="Times New Roman"/>
          <w:szCs w:val="21"/>
        </w:rPr>
        <w:t>Ngram</w:t>
      </w:r>
      <w:proofErr w:type="spellEnd"/>
      <w:r>
        <w:rPr>
          <w:rFonts w:asciiTheme="minorEastAsia" w:hAnsiTheme="minorEastAsia" w:hint="eastAsia"/>
          <w:szCs w:val="21"/>
        </w:rPr>
        <w:t>语料库</w:t>
      </w:r>
      <w:proofErr w:type="gramStart"/>
      <w:r w:rsidR="006A37C1">
        <w:rPr>
          <w:rFonts w:asciiTheme="minorEastAsia" w:hAnsiTheme="minorEastAsia" w:hint="eastAsia"/>
          <w:szCs w:val="21"/>
        </w:rPr>
        <w:t>由谷歌所</w:t>
      </w:r>
      <w:proofErr w:type="gramEnd"/>
      <w:r w:rsidR="006A37C1">
        <w:rPr>
          <w:rFonts w:asciiTheme="minorEastAsia" w:hAnsiTheme="minorEastAsia" w:hint="eastAsia"/>
          <w:szCs w:val="21"/>
        </w:rPr>
        <w:t>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9D26A0">
        <w:rPr>
          <w:rFonts w:hint="eastAsia"/>
        </w:rPr>
        <w:t>661281</w:t>
      </w:r>
      <w:r w:rsidR="0075115E">
        <w:rPr>
          <w:rFonts w:hint="eastAsia"/>
        </w:rPr>
        <w:t>个不同的词语，所有词语的总出现频次为</w:t>
      </w:r>
      <w:r w:rsidR="009D26A0">
        <w:rPr>
          <w:rFonts w:hint="eastAsia"/>
        </w:rPr>
        <w:t>72622729574</w:t>
      </w:r>
      <w:r w:rsidR="0075115E">
        <w:rPr>
          <w:rFonts w:hint="eastAsia"/>
        </w:rPr>
        <w:t>。</w:t>
      </w:r>
    </w:p>
    <w:p w:rsidR="0075115E" w:rsidRDefault="0075115E" w:rsidP="009D37DB">
      <w:pPr>
        <w:spacing w:line="276" w:lineRule="auto"/>
        <w:ind w:firstLine="420"/>
      </w:pPr>
      <w:r>
        <w:rPr>
          <w:rFonts w:hint="eastAsia"/>
        </w:rPr>
        <w:t>在统计每年表达积极情感与消极情感的词语和用语使用频次时，本研究采用了</w:t>
      </w:r>
      <w:r w:rsidR="00336E01" w:rsidRPr="00336E01">
        <w:rPr>
          <w:rFonts w:hint="eastAsia"/>
        </w:rPr>
        <w:t>《知网》情感分析用词语集</w:t>
      </w:r>
      <w:r>
        <w:rPr>
          <w:rFonts w:hint="eastAsia"/>
        </w:rPr>
        <w:t>中包含的两个词表。</w:t>
      </w:r>
      <w:r w:rsidRPr="0075115E">
        <w:rPr>
          <w:rFonts w:hint="eastAsia"/>
          <w:vertAlign w:val="superscript"/>
        </w:rPr>
        <w:t>[1</w:t>
      </w:r>
      <w:r w:rsidR="005E6E51">
        <w:rPr>
          <w:rFonts w:hint="eastAsia"/>
          <w:vertAlign w:val="superscript"/>
        </w:rPr>
        <w:t>2</w:t>
      </w:r>
      <w:r w:rsidRPr="0075115E">
        <w:rPr>
          <w:rFonts w:hint="eastAsia"/>
          <w:vertAlign w:val="superscript"/>
        </w:rPr>
        <w:t>]</w:t>
      </w:r>
      <w:r>
        <w:rPr>
          <w:rFonts w:hint="eastAsia"/>
        </w:rPr>
        <w:t>该词表被广泛应用于中文句子以及文本初步情感</w:t>
      </w:r>
      <w:r>
        <w:rPr>
          <w:rFonts w:hint="eastAsia"/>
        </w:rPr>
        <w:lastRenderedPageBreak/>
        <w:t>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C96894"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C96894"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4C485D" w:rsidRDefault="00E50A47" w:rsidP="009D37DB">
      <w:pPr>
        <w:spacing w:line="276" w:lineRule="auto"/>
        <w:rPr>
          <w:rFonts w:ascii="黑体" w:eastAsia="黑体" w:hAnsiTheme="minorEastAsia" w:hint="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hint="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4C485D" w:rsidP="009D37DB">
      <w:pPr>
        <w:spacing w:line="276" w:lineRule="auto"/>
        <w:rPr>
          <w:rFonts w:asciiTheme="minorEastAsia" w:hAnsiTheme="minorEastAsia" w:hint="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hint="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hint="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hint="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w:t>
      </w:r>
      <w:proofErr w:type="gramStart"/>
      <w:r w:rsidRPr="00551F0E">
        <w:rPr>
          <w:rFonts w:ascii="Times New Roman" w:hAnsi="Times New Roman" w:cs="Times New Roman"/>
        </w:rPr>
        <w:t>future</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proofErr w:type="gramStart"/>
      <w:r w:rsidRPr="00551F0E">
        <w:rPr>
          <w:rFonts w:ascii="Times New Roman" w:hAnsi="Times New Roman" w:cs="Times New Roman"/>
        </w:rPr>
        <w:t>Mehod</w:t>
      </w:r>
      <w:proofErr w:type="spellEnd"/>
      <w:r w:rsidR="005329E9">
        <w:rPr>
          <w:rFonts w:ascii="Times New Roman" w:hAnsi="Times New Roman" w:cs="Times New Roman" w:hint="eastAsia"/>
        </w:rPr>
        <w:t>[</w:t>
      </w:r>
      <w:proofErr w:type="gram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w:t>
      </w:r>
      <w:proofErr w:type="gramStart"/>
      <w:r w:rsidRPr="00551F0E">
        <w:rPr>
          <w:rFonts w:ascii="Times New Roman" w:hAnsi="Times New Roman" w:cs="Times New Roman"/>
        </w:rPr>
        <w:t>data</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w:t>
      </w:r>
      <w:proofErr w:type="gramStart"/>
      <w:r w:rsidRPr="00551F0E">
        <w:rPr>
          <w:rFonts w:ascii="Times New Roman" w:hAnsi="Times New Roman" w:cs="Times New Roman"/>
        </w:rPr>
        <w:t>market</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w:t>
      </w:r>
      <w:proofErr w:type="gramStart"/>
      <w:r w:rsidRPr="00551F0E">
        <w:rPr>
          <w:rFonts w:ascii="Times New Roman" w:hAnsi="Times New Roman" w:cs="Times New Roman"/>
        </w:rPr>
        <w:t>Books</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proofErr w:type="gramStart"/>
      <w:r w:rsidR="003E6431">
        <w:rPr>
          <w:rFonts w:ascii="Times New Roman" w:hAnsi="Times New Roman" w:cs="Times New Roman" w:hint="eastAsia"/>
        </w:rPr>
        <w:t>e</w:t>
      </w:r>
      <w:r w:rsidRPr="00551F0E">
        <w:rPr>
          <w:rFonts w:ascii="Times New Roman" w:hAnsi="Times New Roman" w:cs="Times New Roman"/>
        </w:rPr>
        <w:t>t</w:t>
      </w:r>
      <w:proofErr w:type="gramEnd"/>
      <w:r w:rsidRPr="00551F0E">
        <w:rPr>
          <w:rFonts w:ascii="Times New Roman" w:hAnsi="Times New Roman" w:cs="Times New Roman"/>
        </w:rPr>
        <w:t xml:space="preserve">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 xml:space="preserve">ing millions of digitized </w:t>
      </w:r>
      <w:proofErr w:type="gramStart"/>
      <w:r w:rsidR="005329E9">
        <w:rPr>
          <w:rFonts w:ascii="Times New Roman" w:hAnsi="Times New Roman" w:cs="Times New Roman" w:hint="eastAsia"/>
        </w:rPr>
        <w:t>books[</w:t>
      </w:r>
      <w:proofErr w:type="gramEnd"/>
      <w:r w:rsidR="005329E9">
        <w:rPr>
          <w:rFonts w:ascii="Times New Roman" w:hAnsi="Times New Roman" w:cs="Times New Roman" w:hint="eastAsia"/>
        </w:rPr>
        <w:t>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FB3" w:rsidRDefault="00942FB3" w:rsidP="00F875BD">
      <w:r>
        <w:separator/>
      </w:r>
    </w:p>
  </w:endnote>
  <w:endnote w:type="continuationSeparator" w:id="0">
    <w:p w:rsidR="00942FB3" w:rsidRDefault="00942FB3"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FB3" w:rsidRDefault="00942FB3" w:rsidP="00F875BD">
      <w:r>
        <w:separator/>
      </w:r>
    </w:p>
  </w:footnote>
  <w:footnote w:type="continuationSeparator" w:id="0">
    <w:p w:rsidR="00942FB3" w:rsidRDefault="00942FB3"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194E5E"/>
    <w:rsid w:val="001E03B3"/>
    <w:rsid w:val="002E3B14"/>
    <w:rsid w:val="0032382A"/>
    <w:rsid w:val="00336E01"/>
    <w:rsid w:val="003E6431"/>
    <w:rsid w:val="00470631"/>
    <w:rsid w:val="004944C8"/>
    <w:rsid w:val="004970BE"/>
    <w:rsid w:val="004B45B0"/>
    <w:rsid w:val="004C485D"/>
    <w:rsid w:val="005329E9"/>
    <w:rsid w:val="00543CC4"/>
    <w:rsid w:val="00551F0E"/>
    <w:rsid w:val="00581846"/>
    <w:rsid w:val="005E6E51"/>
    <w:rsid w:val="00604DC1"/>
    <w:rsid w:val="006358DF"/>
    <w:rsid w:val="00672E78"/>
    <w:rsid w:val="006A37C1"/>
    <w:rsid w:val="006B4171"/>
    <w:rsid w:val="006D3C2E"/>
    <w:rsid w:val="006F0260"/>
    <w:rsid w:val="00716775"/>
    <w:rsid w:val="0075115E"/>
    <w:rsid w:val="007B1229"/>
    <w:rsid w:val="007B62D9"/>
    <w:rsid w:val="007F1472"/>
    <w:rsid w:val="008F5340"/>
    <w:rsid w:val="00942FB3"/>
    <w:rsid w:val="009456B6"/>
    <w:rsid w:val="0098785B"/>
    <w:rsid w:val="009A58C3"/>
    <w:rsid w:val="009B2432"/>
    <w:rsid w:val="009D26A0"/>
    <w:rsid w:val="009D37DB"/>
    <w:rsid w:val="00A15D9A"/>
    <w:rsid w:val="00A16EFE"/>
    <w:rsid w:val="00A614B4"/>
    <w:rsid w:val="00C62764"/>
    <w:rsid w:val="00C96894"/>
    <w:rsid w:val="00CE3DD8"/>
    <w:rsid w:val="00CF6D18"/>
    <w:rsid w:val="00D76E02"/>
    <w:rsid w:val="00D96955"/>
    <w:rsid w:val="00E50A47"/>
    <w:rsid w:val="00F1241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EC3A-D2F4-47C4-B936-E78A35F2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cp:lastModifiedBy>
  <cp:revision>22</cp:revision>
  <dcterms:created xsi:type="dcterms:W3CDTF">2014-08-22T06:45:00Z</dcterms:created>
  <dcterms:modified xsi:type="dcterms:W3CDTF">2014-10-10T07:50:00Z</dcterms:modified>
</cp:coreProperties>
</file>