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Noto Sans CJK SC" w:hAnsi="Noto Sans CJK SC" w:eastAsia="Noto Sans CJK SC" w:cs="Noto Sans CJK SC"/>
          <w:b/>
          <w:color w:val="176B91"/>
          <w:sz w:val="32"/>
        </w:rPr>
        <w:t>TEST365ALM</w:t>
      </w:r>
    </w:p>
    <w:p>
      <w:pPr>
        <w:spacing w:before="300" w:after="240"/>
      </w:pPr>
      <w:r>
        <w:rPr>
          <w:rFonts w:ascii="Noto Sans CJK SC" w:hAnsi="Noto Sans CJK SC" w:eastAsia="Noto Sans CJK SC" w:cs="Noto Sans CJK SC"/>
          <w:b/>
          <w:color w:val="183B56"/>
          <w:sz w:val="60"/>
        </w:rPr>
        <w:t>项目实施计划书</w:t>
      </w:r>
    </w:p>
    <w:p>
      <w:r>
        <w:rPr>
          <w:rFonts w:ascii="Noto Sans CJK SC" w:hAnsi="Noto Sans CJK SC" w:eastAsia="Noto Sans CJK SC" w:cs="Noto Sans CJK SC"/>
          <w:color w:val="526575"/>
          <w:sz w:val="28"/>
        </w:rPr>
        <w:t>管理层决策与分阶段投资</w:t>
      </w:r>
    </w:p>
    <w:p>
      <w:pPr>
        <w:spacing w:before="400" w:after="400"/>
        <w:shd w:fill="EDF3F7"/>
      </w:pPr>
      <w:r>
        <w:rPr>
          <w:rFonts w:ascii="Noto Sans CJK SC" w:hAnsi="Noto Sans CJK SC" w:eastAsia="Noto Sans CJK SC" w:cs="Noto Sans CJK SC"/>
          <w:sz w:val="20"/>
        </w:rPr>
        <w:t xml:space="preserve">  独立 ALM 替代产品  /  V1.0 立项评审稿  /  2026-09-20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决策要点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规划基线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先审批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P0：6周、平均6人、约54万元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分阶段交付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6个月核心试用；18个月企业版；36个月全量目标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总投入假设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618人月；含规划环境、专项与20%预备费共3354万元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Noto Sans CJK SC" w:hAnsi="Noto Sans CJK SC" w:eastAsia="Noto Sans CJK SC" w:cs="Noto Sans CJK SC"/>
          <w:b/>
          <w:sz w:val="20"/>
        </w:rPr>
        <w:t>使用边界</w:t>
      </w:r>
      <w:r>
        <w:rPr>
          <w:rFonts w:ascii="Noto Sans CJK SC" w:hAnsi="Noto Sans CJK SC" w:eastAsia="Noto Sans CJK SC" w:cs="Noto Sans CJK SC"/>
          <w:sz w:val="20"/>
        </w:rPr>
        <w:br/>
        <w:t>目标实例、Edition、扩展、旧资产及实际团队尚未确认。范围、预算和技术选型须经G0评审；本次是规划和辅助工具交付，不是已完成的业务系统。</w:t>
      </w:r>
    </w:p>
    <w:p>
      <w:r>
        <w:rPr>
          <w:rFonts w:ascii="Noto Sans CJK SC" w:hAnsi="Noto Sans CJK SC" w:eastAsia="Noto Sans CJK SC" w:cs="Noto Sans CJK SC"/>
          <w:sz w:val="18"/>
        </w:rPr>
        <w:t>配套交付：可版本管理的Markdown、工作分解与验收CSV、数据/API设计及校验工具。</w:t>
      </w:r>
    </w:p>
    <w:p>
      <w:r>
        <w:br w:type="page"/>
      </w:r>
    </w:p>
    <w:p>
      <w:pPr>
        <w:pStyle w:val="Heading1"/>
      </w:pPr>
      <w:r>
        <w:t>阅读导览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阅读顺序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对应内容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先看决策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第1章决策摘要；第7～9章里程碑、编制和预算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再看风险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第4～5章范围与可行性；第11～13章验收和治理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形成决议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第14章首阶段审批；后续额度按G0～G4逐次放行</w:t>
            </w:r>
          </w:p>
        </w:tc>
      </w:tr>
    </w:tbl>
    <w:p>
      <w:pPr>
        <w:spacing w:after="20"/>
      </w:pPr>
    </w:p>
    <w:p>
      <w:pPr>
        <w:pStyle w:val="Heading2"/>
      </w:pPr>
      <w:r>
        <w:t>章节索引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1. 管理层决策摘要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2. 已知条件、规划假设与待决事项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3. 立项理由与收益验证方式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4. 产品范围与交付边界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5. 可行性与最大技术风险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6. 技术路线与组织方式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7. 36 个月里程碑与阶段闸门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8. 团队配置与职责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9. 预算模型与资金释放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10. 工作管理与进度报告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11. 质量、安全与验收指标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12. 风险升级与调整规则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13. 知识产权、商业授权与数据治理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14. 老板本次需要批准的事项</w:t>
      </w:r>
    </w:p>
    <w:p>
      <w:pPr>
        <w:spacing w:after="40" w:line="264" w:lineRule="auto"/>
      </w:pPr>
      <w:r>
        <w:rPr>
          <w:rFonts w:ascii="Noto Sans CJK SC" w:hAnsi="Noto Sans CJK SC" w:eastAsia="Noto Sans CJK SC" w:cs="Noto Sans CJK SC"/>
          <w:sz w:val="20"/>
        </w:rPr>
        <w:t>15. 配套资料与来源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/>
        </w:rPr>
        <w:t>面向：公司管理层 / 项目投资决策人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</w:rPr>
        <w:t>版本：V1.0 立项评审稿｜编制日期：2026-09-20｜文档属性：内部项目规划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管理层决策摘要</w:t>
      </w:r>
    </w:p>
    <w:p>
      <w:r>
        <w:rPr>
          <w:rFonts w:ascii="Noto Sans CJK SC" w:hAnsi="Noto Sans CJK SC" w:eastAsia="Noto Sans CJK SC" w:cs="Noto Sans CJK SC"/>
        </w:rPr>
        <w:t>Test365Alm 拟建设一个独立、自主可维护的企业级应用质量管理平台，对标原 HP / Micro Focus ALM / Quality Center 产品体系。本文以 OpenText AQM 26.1 公开文档及产品功能矩阵作为研究参考，最终交付范围必须在项目启动阶段按实际版本、Edition、扩展、脚本和客户端清单冻结。[R01][R02]</w:t>
      </w:r>
    </w:p>
    <w:p>
      <w:r>
        <w:rPr>
          <w:rFonts w:ascii="Noto Sans CJK SC" w:hAnsi="Noto Sans CJK SC" w:eastAsia="Noto Sans CJK SC" w:cs="Noto Sans CJK SC"/>
        </w:rPr>
        <w:t>本项目目标不是一个仅包含用例和缺陷的轻量系统，而是覆盖需求、测试设计、执行、缺陷、发布、报表、版本基线、跨项目复用、自动化调度、企业定制、数据迁移与约定兼容能力的完整替代产品。高级扩展、离线执行、BPT、电子签名、AI 辅助及旧生态兼容纳入独立工作包，不以“后续再考虑”消失。</w:t>
      </w:r>
    </w:p>
    <w:p>
      <w:r>
        <w:rPr>
          <w:rFonts w:ascii="Noto Sans CJK SC" w:hAnsi="Noto Sans CJK SC" w:eastAsia="Noto Sans CJK SC" w:cs="Noto Sans CJK SC"/>
        </w:rPr>
        <w:t>建议采用“长期产品研发、分阶段投入、以验收证据放行”的方式。首轮只批准 6 周预研及范围冻结预算，验证复杂迁移、基线一致性及历史接口/脚本，再决定后续投入。完整目标采用 36 个月规划基线，允许在正式范围冻结后调整为 24～48 个月区间；该周期是团队投入和范围假设下的估算，不是已经承诺的合同交期。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建议方案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产品定位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独立 ALM 业务替代产品，明确公布已验证的迁移和兼容矩阵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首轮审批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P0：6 周、平均 6 人、含预备费约 54 万元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首个阶段产品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 6 个月形成核心业务闭环试用版，不宣称完整替代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企业版目标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 18 个月完成主要企业能力及试点验证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全量目标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 36 个月完成已冻结范围的逐项验收；未达项不能计完成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总投入基线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618 人月，研发人工 2472 万元；含规划环境/外部费用及 20% 预备费共 3354 万元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GitHub 可见性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建议私有仓库；代码公开或开源许可须另行批准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本次交付性质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项目计划、详细实施方案、工作分解及校验工具，不是已完成的软件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已知条件、规划假设与待决事项</w:t>
      </w:r>
    </w:p>
    <w:p>
      <w:r>
        <w:rPr>
          <w:rFonts w:ascii="Noto Sans CJK SC" w:hAnsi="Noto Sans CJK SC" w:eastAsia="Noto Sans CJK SC" w:cs="Noto Sans CJK SC"/>
        </w:rPr>
        <w:t>已知条件：项目名为 Test365Alm；目标是完整 ALM 替代方向；需要老板版计划和可以逐步执行的开发方案。尚未获得团队真实编制、内部成本、目标 ALM 实例、原始脚本、生产数据或正式预算。</w:t>
      </w:r>
    </w:p>
    <w:p>
      <w:r>
        <w:rPr>
          <w:rFonts w:ascii="Noto Sans CJK SC" w:hAnsi="Noto Sans CJK SC" w:eastAsia="Noto Sans CJK SC" w:cs="Noto Sans CJK SC"/>
        </w:rPr>
        <w:t>因此，本计划使用如下假设：采用企业软件研发团队；允许合理复用基础开源组件；优先私有化交付，架构预留多租户；采用 Web 主工作台与独立执行/兼容组件；综合人月成本按人民币 4 万元计算。所有假设均可在 G0 评审前修改，不能视为用户已经同意。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决策编号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待确认内容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默认规划处理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最晚决策闸门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D01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目标 ALM 版本、补丁及 Edition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26.1 仅作为文档研究参考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D02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是否要求原客户端及所有 OTA/VBScript 零修改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独立高风险研发线，不提前承诺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D03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已安装扩展、BPT 工具链、许可服务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全部盘点后逐项纳入基线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D04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私有化、SaaS 或双模式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私有化优先；SaaS 运营另行验收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D05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首批试点客户与数据授权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三类脱敏样本项目作为建议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D06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合规、签名、数据保留要求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由业务适用性评估确定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G0/G2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D07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团队能力与实际人月成本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按角色与平均人数建模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D08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商业授权、开源许可和品牌策略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不默认开源、不复制专有资产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G0/G3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若 D01～D03 缺失，团队可以完成基础工程和概念验证，但不得以未知范围签署“全部旧生态零修改兼容”的固定价合同。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3. 立项理由与收益验证方式</w:t>
      </w:r>
    </w:p>
    <w:p>
      <w:r>
        <w:rPr>
          <w:rFonts w:ascii="Noto Sans CJK SC" w:hAnsi="Noto Sans CJK SC" w:eastAsia="Noto Sans CJK SC" w:cs="Noto Sans CJK SC"/>
        </w:rPr>
        <w:t>本项目潜在价值是形成自主产品、控制定制交付节奏、减少重复实施工作，并建立测试管理与自动化平台之间的统一质量数据体系。上述是商业假设，不是已经实现的收益，也不能在没有真实合同和客户数据的情况下推导确定收入。</w:t>
      </w:r>
    </w:p>
    <w:p>
      <w:r>
        <w:rPr>
          <w:rFonts w:ascii="Noto Sans CJK SC" w:hAnsi="Noto Sans CJK SC" w:eastAsia="Noto Sans CJK SC" w:cs="Noto Sans CJK SC"/>
        </w:rPr>
        <w:t>在 P0 访谈试点用户，记录现有流程耗时、迁移成本、授权及维护成本；P1/P2 在相同业务流程上复测，区分产品能力改进与人员熟练度变化。投资回报采用公司提供的数据计算，不使用编造的客户数量、售价或增长率。</w:t>
      </w:r>
    </w:p>
    <w:p>
      <w:r>
        <w:rPr>
          <w:rFonts w:ascii="Noto Sans CJK SC" w:hAnsi="Noto Sans CJK SC" w:eastAsia="Noto Sans CJK SC" w:cs="Noto Sans CJK SC"/>
        </w:rPr>
        <w:t>建议收益模型：三年净收益＝可验证的外部毛利贡献＋可验证的内部效率收益＋可避免的原系统成本－研发投入－新增运维交付成本。内部节省工时只在确实释放或重新利用产能时计入收益，不能重复计算为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收益假设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验证数据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判断方式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需求到测试更易追踪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固定场景操作时长、遗漏关系数量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试点前后同口径对比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报表制作减少人工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月度报告准备及核对人时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对比实际记录，不使用主观满意度替代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迁移交付可复用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每项目迁移工时、失败重跑比例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第二、第三项目复用验证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客户接受完整替代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真实试点验收、明确的采购反馈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不以演示人数或下载量代替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产品可持续维护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每版本回归成本、线上故障、兼容问题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连续版本观察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4. 产品范围与交付边界</w:t>
      </w:r>
    </w:p>
    <w:p>
      <w:r>
        <w:rPr>
          <w:rFonts w:ascii="Noto Sans CJK SC" w:hAnsi="Noto Sans CJK SC" w:eastAsia="Noto Sans CJK SC" w:cs="Noto Sans CJK SC"/>
        </w:rPr>
        <w:t>官方产品区分不同 Edition，扩展和云服务也存在差异。因此，范围应以功能及行为清单管理，而不是只以产品名称管理。[R01]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范围层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本项目包含的目标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交付原则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核心闭环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发布、需求、测试计划、测试集、运行、缺陷、追踪、报表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P1 先交付可用闭环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企业能力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动态字段、流程、基线、版本、资产库、模板、跨项目报表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P2 补齐关键企业使用场景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执行与集成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执行节点、调度、实验室、资源预订、外部连接器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固定工具、版本与许可矩阵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高级能力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BPT、流程模型、风险规划、离线、电子签名、AI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P3 独立验收，不能被核心闭环替代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历史生态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迁移、REST、OTA/COM、VBScript、客户端与插件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按场景验证，不以有 API 代替兼容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产品化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安全、容量、安装升级、备份恢复、支持工具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P4 全面收敛并验收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外部测试引擎的完整自研，例如重建完整 LoadRunner 或 UFT，不包含在 Test365Alm 的基础研发预算中。本项目负责其资产引用、合法调用、调度、结果和追踪；需要自研测试引擎时必须另立项目。AutoPass 等厂商许可系统不能绕过，商业连接器与外部产品使用权单列。</w:t>
      </w:r>
    </w:p>
    <w:p>
      <w:r>
        <w:rPr>
          <w:rFonts w:ascii="Noto Sans CJK SC" w:hAnsi="Noto Sans CJK SC" w:eastAsia="Noto Sans CJK SC" w:cs="Noto Sans CJK SC"/>
        </w:rPr>
        <w:t>云厂商数据中心服务、24×7 人工支持及第三方认证，不因为做出相同页面就自动具备；如纳入销售承诺，须有对应运营、合同和认证投入。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5. 可行性与最大技术风险</w:t>
      </w:r>
    </w:p>
    <w:p>
      <w:r>
        <w:rPr>
          <w:rFonts w:ascii="Noto Sans CJK SC" w:hAnsi="Noto Sans CJK SC" w:eastAsia="Noto Sans CJK SC" w:cs="Noto Sans CJK SC"/>
        </w:rPr>
        <w:t>需求、测试、缺陷等原生业务能力具备明确的工程实现路径。真正的不确定性集中在历史资产语义、复杂工作流、原有接口行为和旧客户端生态。</w:t>
      </w:r>
    </w:p>
    <w:p>
      <w:r>
        <w:rPr>
          <w:rFonts w:ascii="Noto Sans CJK SC" w:hAnsi="Noto Sans CJK SC" w:eastAsia="Noto Sans CJK SC" w:cs="Noto Sans CJK SC"/>
        </w:rPr>
        <w:t>官方开发资料分别列出项目 REST、站点管理 REST、基于 COM 的 OTA、站点管理 COM 及自定义测试类型接口，说明兼容工作不是单一的 REST 增删改查。[R02]</w:t>
      </w:r>
    </w:p>
    <w:p>
      <w:r>
        <w:rPr>
          <w:rFonts w:ascii="Noto Sans CJK SC" w:hAnsi="Noto Sans CJK SC" w:eastAsia="Noto Sans CJK SC" w:cs="Noto Sans CJK SC"/>
        </w:rPr>
        <w:t>本计划采用以下降险措施：第一天设计稳定身份、不可变修订和运行快照；P0 就做复杂数据及脚本验证；兼容层与新业务内核隔离；迁移工具与业务模块同步研发；未通过的兼容项保留在最终阻断清单。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早期验证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不通过时的处理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旧客户端无法直接连接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P0 真实客户端协议及合法接口验证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调整兼容声明与预算，保留差异，不虚报完成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历史数据无法完整提取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三类脱敏项目迁移验证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补充合法数据来源、只读存档方案并记录缺口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基线与历史执行变化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并发修改及固定版本测试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暂停扩展开发，先修复数据模型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全量范围不断扩大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冻结版本、Edition 和扩展清单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正式变更评估，不无限吸收需求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专项人才不足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Windows/COM、迁移和领域能力评估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提前招聘或引入授权外部支持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6. 技术路线与组织方式</w:t>
      </w:r>
    </w:p>
    <w:p>
      <w:r>
        <w:rPr>
          <w:rFonts w:ascii="Noto Sans CJK SC" w:hAnsi="Noto Sans CJK SC" w:eastAsia="Noto Sans CJK SC" w:cs="Noto Sans CJK SC"/>
        </w:rPr>
        <w:t>产品采用模块化业务内核，按需求、测试、运行、缺陷、规则、版本、审计等领域分工；执行节点、外部集成、迁移及 Windows 兼容组件独立部署。此选择是本项目的架构建议，不是原产品内部架构描述。</w:t>
      </w:r>
    </w:p>
    <w:p>
      <w:r>
        <w:rPr>
          <w:rFonts w:ascii="Noto Sans CJK SC" w:hAnsi="Noto Sans CJK SC" w:eastAsia="Noto Sans CJK SC" w:cs="Noto Sans CJK SC"/>
        </w:rPr>
        <w:t>建议技术方向：React/TypeScript Web 工作台；Java/Spring Boot 后端；PostgreSQL 主数据；对象存储保存附件与证据；Go 或适合团队的受支持运行时实现执行节点；Windows 原生桥接采用经过验证的 .NET/COM 方案。具体版本在 P0 锁定并定期维护。[R05][R06][R07][R14]</w:t>
      </w:r>
    </w:p>
    <w:p>
      <w:r>
        <w:rPr>
          <w:rFonts w:ascii="Noto Sans CJK SC" w:hAnsi="Noto Sans CJK SC" w:eastAsia="Noto Sans CJK SC" w:cs="Noto Sans CJK SC"/>
        </w:rPr>
        <w:t>避免一开始拆成大量微服务。先保证需求、用例、版本、审计与关系更新的一致性，再按执行隔离、吞吐和发布节奏拆分。不得用复杂基础设施掩盖核心业务模型尚未确定的问题。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7. 36 个月里程碑与阶段闸门</w:t>
      </w:r>
    </w:p>
    <w:p>
      <w:r>
        <w:rPr>
          <w:rFonts w:ascii="Noto Sans CJK SC" w:hAnsi="Noto Sans CJK SC" w:eastAsia="Noto Sans CJK SC" w:cs="Noto Sans CJK SC"/>
        </w:rPr>
        <w:t>计划采用 78 个两周迭代、共 156 周作为 36 个月的近似规划视图；月与周是预算和排期的两种表达，并非精确历月换算。实际日历在启动日期批准后生成，节假日、招聘和外部审批重新计入。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迭代 / 周数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累计月份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闸门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S01～S03 / W01～W06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1.5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范围冻结、样本、三类高风险验证、预算基线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S04～S13 / W07～W26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核心业务闭环、基础迁移、内部试用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S14～S39 / W27～W78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企业定制、基线、执行调度、模板、企业试点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S40～S65 / W79～W130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复杂兼容、高级扩展、完整迁移和差异收敛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P4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S66～S78 / W131～W156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全量回归、容量灾备、上线验收与维护移交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G4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G0 放行条件：样本合法可用，范围矩阵可审计，关键风险有验证结果，预算和责任人已确认。G1 放行条件：核心端到端业务完成，历史运行不变，基本权限验证通过；仅允许按明确边界试用。</w:t>
      </w:r>
    </w:p>
    <w:p>
      <w:r>
        <w:rPr>
          <w:rFonts w:ascii="Noto Sans CJK SC" w:hAnsi="Noto Sans CJK SC" w:eastAsia="Noto Sans CJK SC" w:cs="Noto Sans CJK SC"/>
        </w:rPr>
        <w:t>G2 放行条件：企业场景、迁移演练、规则及基线通过验收，生产试点必须额外满足安全和恢复要求。G3 放行条件：高级能力与兼容子清单逐项有证据，所有未解项有处理计划。G4 放行条件：冻结范围所有 MUST 项通过，无关键安全或数据完整性阻断，发行和运维资料齐备。</w:t>
      </w:r>
    </w:p>
    <w:p>
      <w:r>
        <w:rPr>
          <w:rFonts w:ascii="Noto Sans CJK SC" w:hAnsi="Noto Sans CJK SC" w:eastAsia="Noto Sans CJK SC" w:cs="Noto Sans CJK SC"/>
        </w:rPr>
        <w:t>任何阶段的“通过率”都不能抵消一个关键未完成项目。例如，99% 页面完成但不能迁移客户关键基线，不满足全量替代验收。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团队配置与职责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平均全职当量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推荐人员结构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P0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产品/领域 1、架构 1、后端 2、QA 1、迁移/兼容 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P1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10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产品/项目 1.5、架构 1、后端 3、前端 2、QA 1.5、DevOps 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P2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16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产品/项目 2、架构 1、后端 5、前端 3、QA 3、SRE 1、迁移 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P3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22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产品/项目 2、架构 1、后端 5、前端 3、QA 4、SRE 2、迁移 2、兼容 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P4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产品/项目 2、架构 1、后端 4、前端 2、QA 4、SRE 2、迁移 1、兼容 2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平均人数用于预算模型，并非所有月份都保持相同编制。人员到位时间、技能分布和离职率会影响排期。架构师不能替代 ALM 领域专家，Web 团队不能自动覆盖 Windows/COM 专项工作。</w:t>
      </w:r>
    </w:p>
    <w:p>
      <w:r>
        <w:rPr>
          <w:rFonts w:ascii="Noto Sans CJK SC" w:hAnsi="Noto Sans CJK SC" w:eastAsia="Noto Sans CJK SC" w:cs="Noto Sans CJK SC"/>
        </w:rPr>
        <w:t>项目负责人对范围、进度和预算负责；架构师对领域边界及数据一致性负责；领域负责人对模块实现负责；独立 QA 对证据真实性和验收负责；SRE 对可部署、可恢复和可运维负责；业务验收人对流程适配及差异接受负责。老板负责阶段投入和重大范围决策，不代替技术或业务验收签字。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预算模型与资金释放</w:t>
      </w:r>
    </w:p>
    <w:p>
      <w:r>
        <w:rPr>
          <w:rFonts w:ascii="Noto Sans CJK SC" w:hAnsi="Noto Sans CJK SC" w:eastAsia="Noto Sans CJK SC" w:cs="Noto Sans CJK SC"/>
        </w:rPr>
        <w:t>费用单位均为人民币万元。人工成本假设为 4 万元/人月，包含工资、企业用工附加和常规管理摊销，不代表实际市场报价。环境和外部费用是规划占位，需采购核价；不包含另行自研完整测试引擎、最终税务口径及正式长期支持合同。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893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cantSplit/>
          <w:tblHeader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人月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人工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环境/设备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外部工具/专项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阶段小计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20%预备费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含预备费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9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36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5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45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9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54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P1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45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180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202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40.4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242.4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192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768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36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834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166.8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1000.8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P3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264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1056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60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1216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243.2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1459.2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P4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108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432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36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30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498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99.6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597.6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合计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618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2472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148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175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2795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559</w:t>
            </w:r>
          </w:p>
        </w:tc>
        <w:tc>
          <w:tcPr>
            <w:tcW w:type="dxa" w:w="12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3354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前 6 个月累计规划额度为 296.4 万元，前 18 个月累计为 1297.2 万元，前 30 个月累计为 2756.4 万元。各阶段费用是增量，累计额度不能再相加。</w:t>
      </w:r>
    </w:p>
    <w:p>
      <w:r>
        <w:rPr>
          <w:rFonts w:ascii="Noto Sans CJK SC" w:hAnsi="Noto Sans CJK SC" w:eastAsia="Noto Sans CJK SC" w:cs="Noto Sans CJK SC"/>
        </w:rPr>
        <w:t>预备费不是自动支出，启用应写明风险事件、金额、剩余额度与批准人。阶段放行时滚动更新完工预测：已发生成本＋剩余工作最新估算，而不是始终沿用立项时数字。</w:t>
      </w:r>
    </w:p>
    <w:p>
      <w:r>
        <w:rPr>
          <w:rFonts w:ascii="Noto Sans CJK SC" w:hAnsi="Noto Sans CJK SC" w:eastAsia="Noto Sans CJK SC" w:cs="Noto Sans CJK SC"/>
        </w:rPr>
        <w:t>敏感性示例：同样 618 人月，若人月成本改为 3 万元或 5 万元，人工分别为 1854 万元、3090 万元；环境及外部费用不变、同样加 20% 预备费时，总额分别为 2612.4 万元、4095.6 万元。这是算术情景，不代表人员成本概率分布。</w:t>
      </w:r>
    </w:p>
    <w:p>
      <w:r>
        <w:rPr>
          <w:rFonts w:ascii="Noto Sans CJK SC" w:hAnsi="Noto Sans CJK SC" w:eastAsia="Noto Sans CJK SC" w:cs="Noto Sans CJK SC"/>
        </w:rPr>
        <w:t>维护另立年度预算。例如稳定期后 8 人按相同人月成本全年投入，单人工即 384 万元/年，另加环境、授权及支持费用；实际编制按客户数量和服务等级确定，不能认为完成开发后没有持续成本。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工作管理与进度报告</w:t>
      </w:r>
    </w:p>
    <w:p>
      <w:r>
        <w:rPr>
          <w:rFonts w:ascii="Noto Sans CJK SC" w:hAnsi="Noto Sans CJK SC" w:eastAsia="Noto Sans CJK SC" w:cs="Noto Sans CJK SC"/>
        </w:rPr>
        <w:t>采用两周迭代，每项工作必须关联范围编号、实现任务、测试编号和验收证据。仓库提供 32 个工作模块、192 个工作包级步骤和 160 条模块验收场景，另附端到端场景；这些是初始分解，不是原厂全部功能的完整统计，也不是 192 个小任务可以直接等同于 618 人月。</w:t>
      </w:r>
    </w:p>
    <w:p>
      <w:r>
        <w:rPr>
          <w:rFonts w:ascii="Noto Sans CJK SC" w:hAnsi="Noto Sans CJK SC" w:eastAsia="Noto Sans CJK SC" w:cs="Noto Sans CJK SC"/>
        </w:rPr>
        <w:t>迭代前将工作包拆成可在数日完成的开发任务，由实际团队估算。工作包计划覆盖设计、开发、测试及集成；预算还包含治理、修复、回归、交付和专项研究，不以未校准的故事点换算人月。</w:t>
      </w:r>
    </w:p>
    <w:p>
      <w:r>
        <w:rPr>
          <w:rFonts w:ascii="Noto Sans CJK SC" w:hAnsi="Noto Sans CJK SC" w:eastAsia="Noto Sans CJK SC" w:cs="Noto Sans CJK SC"/>
        </w:rPr>
        <w:t>周报只报告已验收功能、关键阻塞、完工预测、实际成本和下一阶段决策。完成文档、完成代码、测试通过、客户验收四种状态分开，不能用代码行数、提交次数或“开发说完成”替代交付结果。</w:t>
      </w:r>
    </w:p>
    <w:p>
      <w:r>
        <w:rPr>
          <w:rFonts w:ascii="Noto Sans CJK SC" w:hAnsi="Noto Sans CJK SC" w:eastAsia="Noto Sans CJK SC" w:cs="Noto Sans CJK SC"/>
        </w:rPr>
        <w:t>范围变更需描述商业原因、目标行为、涉及数据、接口、测试、迁移和运维的影响，评估增量人月与关键路径，再由变更委员会批准。客户提出的新功能不能悄悄覆盖已冻结的兼容目标。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11. 质量、安全与验收指标</w:t>
      </w:r>
    </w:p>
    <w:p>
      <w:r>
        <w:rPr>
          <w:rFonts w:ascii="Noto Sans CJK SC" w:hAnsi="Noto Sans CJK SC" w:eastAsia="Noto Sans CJK SC" w:cs="Noto Sans CJK SC"/>
        </w:rPr>
        <w:t>候选非功能目标包括参考业务负载下核心交互 API p95 不高于 800ms、错误率低于 0.5%；企业试点恢复目标候选为 RPO 15 分钟、RTO 4 小时。上述数字均为设计和采购评估目标，尚未实现或实测。</w:t>
      </w:r>
    </w:p>
    <w:p>
      <w:r>
        <w:rPr>
          <w:rFonts w:ascii="Noto Sans CJK SC" w:hAnsi="Noto Sans CJK SC" w:eastAsia="Noto Sans CJK SC" w:cs="Noto Sans CJK SC"/>
        </w:rPr>
        <w:t>数据验收要求：对象去向可解释、关系完整、关键附件哈希一致、历史版本与签名来源真实；权限验收覆盖页面、API、搜索、报表、导出、附件、执行节点、离线同步和 AI 检索。不存在可以接受的跨租户数据泄漏。</w:t>
      </w:r>
    </w:p>
    <w:p>
      <w:r>
        <w:rPr>
          <w:rFonts w:ascii="Noto Sans CJK SC" w:hAnsi="Noto Sans CJK SC" w:eastAsia="Noto Sans CJK SC" w:cs="Noto Sans CJK SC"/>
        </w:rPr>
        <w:t>发行前必须具备独立构建、安装升级、备份恢复、失败重试、已知差异和支持移交证据。电子签名功能不等于自动符合某个监管制度，需要结合企业适用规则与实际验证另行确认。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12. 风险升级与调整规则</w:t>
      </w:r>
    </w:p>
    <w:p>
      <w:r>
        <w:rPr>
          <w:rFonts w:ascii="Noto Sans CJK SC" w:hAnsi="Noto Sans CJK SC" w:eastAsia="Noto Sans CJK SC" w:cs="Noto Sans CJK SC"/>
        </w:rPr>
        <w:t>建议设置三类决策。继续：本阶段目标达到，剩余风险在已批准额度内。调整：客户样本揭示重大兼容差异、关键人员未到岗或环境限制影响目标，需要变更范围版本、周期或预算。暂停后续投入：缺乏合法目标环境、关键数据无法取得、重大安全或知识产权问题未解决，先处理阻断再投入大规模开发。</w:t>
      </w:r>
    </w:p>
    <w:p>
      <w:r>
        <w:rPr>
          <w:rFonts w:ascii="Noto Sans CJK SC" w:hAnsi="Noto Sans CJK SC" w:eastAsia="Noto Sans CJK SC" w:cs="Noto Sans CJK SC"/>
        </w:rPr>
        <w:t>暂停某个兼容工作包不等于放弃全部原生业务研发，但必须将产品阶段性能力与完整目标清楚区分。已知不能验证的能力不得进入宣传、合同和验收“已完成”栏。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13. 知识产权、商业授权与数据治理</w:t>
      </w:r>
    </w:p>
    <w:p>
      <w:r>
        <w:rPr>
          <w:rFonts w:ascii="Noto Sans CJK SC" w:hAnsi="Noto Sans CJK SC" w:eastAsia="Noto Sans CJK SC" w:cs="Noto Sans CJK SC"/>
        </w:rPr>
        <w:t>Test365Alm 应独立设计和实现，使用合法公开资料及获授权测试环境形成行为规范。禁止直接复制专有代码、图标素材、文档或绕过原产品授权。兼容性研究、SDK 再分发、组件标识和商业集成须结合实际许可及适用法律审查；本文不是法律意见。</w:t>
      </w:r>
    </w:p>
    <w:p>
      <w:r>
        <w:rPr>
          <w:rFonts w:ascii="Noto Sans CJK SC" w:hAnsi="Noto Sans CJK SC" w:eastAsia="Noto Sans CJK SC" w:cs="Noto Sans CJK SC"/>
        </w:rPr>
        <w:t>代码仓库建议私有，预算、样本、生产数据和客户凭据分级管理。样本采用脱敏数据，真实附件不进入 Git 历史；必要证据保存在受限证据库，并在仓库保留引用与哈希。开源许可选择由公司正式批准后添加，当前文件包不替公司授予开源许可证。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14. 老板本次需要批准的事项</w:t>
      </w:r>
    </w:p>
    <w:p>
      <w:r>
        <w:rPr>
          <w:rFonts w:ascii="Noto Sans CJK SC" w:hAnsi="Noto Sans CJK SC" w:eastAsia="Noto Sans CJK SC" w:cs="Noto Sans CJK SC"/>
        </w:rPr>
        <w:t>建议批准 P0 6 周预研：平均 6 人、规划额度上限 54 万元；指定一名项目负责人、一名业务验收人；允许获取合法目标测试环境和脱敏样本；设定第 6 周 G0 评审。</w:t>
      </w:r>
    </w:p>
    <w:p>
      <w:r>
        <w:rPr>
          <w:rFonts w:ascii="Noto Sans CJK SC" w:hAnsi="Noto Sans CJK SC" w:eastAsia="Noto Sans CJK SC" w:cs="Noto Sans CJK SC"/>
        </w:rPr>
        <w:t>后续阶段额度不在本次自动批准。G0 根据验证结果提交更新范围、团队到位计划和预算；G1～G4 逐次放行。管理层保留调整投资节奏的权利，但调整须同步说明对完整目标和交付日期的影响。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签批项目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签批栏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立项结论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批准 / 有条件批准 / 退回修改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首阶段预算与团队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由决策人填写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项目负责人、业务验收人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由公司任命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关键前提与保留意见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由评审填写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评审日期与签字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由实际签批人填写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15. 配套资料与来源</w:t>
      </w:r>
    </w:p>
    <w:p>
      <w:r>
        <w:rPr>
          <w:rFonts w:ascii="Noto Sans CJK SC" w:hAnsi="Noto Sans CJK SC" w:eastAsia="Noto Sans CJK SC" w:cs="Noto Sans CJK SC"/>
        </w:rPr>
        <w:t>技术团队使用《02 详细实施方案》及 docs/modules 中的逐模块手册；项目经理使用 planning 中的范围、工作包、迭代、风险和预算文件；QA 使用 acceptance-cases.csv、端到端场景及验收模板。文件中的所有 PLANNED / NOT_RUN 状态是诚实的研发起点，不表示实际完成。</w:t>
      </w:r>
    </w:p>
    <w:p>
      <w:r>
        <w:rPr>
          <w:rFonts w:ascii="Noto Sans CJK SC" w:hAnsi="Noto Sans CJK SC" w:eastAsia="Noto Sans CJK SC" w:cs="Noto Sans CJK SC"/>
        </w:rPr>
        <w:t>来源编号统一见《03 资料来源与事实边界》。本计划引用官方文档以界定原产品能力和技术接口；架构、预算、排期、性能目标和流程是本项目建议，并非厂商结论。</w:t>
      </w:r>
    </w:p>
    <w:p>
      <w:r>
        <w:br w:type="page"/>
      </w:r>
    </w:p>
    <w:p>
      <w:pPr>
        <w:pStyle w:val="Heading1"/>
      </w:pPr>
      <w:r>
        <w:t>资料来源与事实边界</w:t>
      </w:r>
    </w:p>
    <w:p>
      <w:r>
        <w:t>研究日期：2026-09-20。链接用于界定原产品与公开技术能力；不证明Test365Alm已实现这些功能。架构、预算、周期和目标均为本项目建议。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[R01]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1">
        <w:r>
          <w:rPr>
            <w:color w:val="176B91"/>
            <w:rFonts w:eastAsia="Noto Sans CJK SC" w:ascii="Noto Sans CJK SC" w:hAnsi="Noto Sans CJK SC"/>
          </w:rPr>
          <w:t>OpenText AQM Editions and Cloud Offerings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Edition、扩展、云服务与原生功能的边界；页面声明反映最新发行状态，不能当成未经核验的 26.1 固定历史快照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[R02]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2">
        <w:r>
          <w:rPr>
            <w:color w:val="176B91"/>
            <w:rFonts w:eastAsia="Noto Sans CJK SC" w:ascii="Noto Sans CJK SC" w:hAnsi="Noto Sans CJK SC"/>
          </w:rPr>
          <w:t>AQM 26.1 Develop / API references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项目 REST、站点管理 REST、OTA/COM、站点管理 COM、自定义测试类型等不同兼容面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[R03]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3">
        <w:r>
          <w:rPr>
            <w:color w:val="176B91"/>
            <w:rFonts w:eastAsia="Noto Sans CJK SC" w:ascii="Noto Sans CJK SC" w:hAnsi="Noto Sans CJK SC"/>
          </w:rPr>
          <w:t>AQM 26.1 Libraries, Baselines and Pinned Tests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基线固定资产和关系版本及库外依赖；固定/清除测试集基线的历史行为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[R04]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4">
        <w:r>
          <w:rPr>
            <w:color w:val="176B91"/>
            <w:rFonts w:eastAsia="Noto Sans CJK SC" w:ascii="Noto Sans CJK SC" w:hAnsi="Noto Sans CJK SC"/>
          </w:rPr>
          <w:t>AQM 26.1 Workflow Script Editor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VBScript、模板和项目事件调用方式；不等同于新平台规则实现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[R05]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5">
        <w:r>
          <w:rPr>
            <w:color w:val="176B91"/>
            <w:rFonts w:eastAsia="Noto Sans CJK SC" w:ascii="Noto Sans CJK SC" w:hAnsi="Noto Sans CJK SC"/>
          </w:rPr>
          <w:t>Spring Boot system requirements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检索时页面标示 4.1.1；Java 21 位于其公布兼容范围。最终项目版本需测试后锁定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[R06]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6">
        <w:r>
          <w:rPr>
            <w:color w:val="176B91"/>
            <w:rFonts w:eastAsia="Noto Sans CJK SC" w:ascii="Noto Sans CJK SC" w:hAnsi="Noto Sans CJK SC"/>
          </w:rPr>
          <w:t>Node.js releases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检索时 Node 24 标示 LTS；不选已结束支持的运行时作为新项目基线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[R07]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7">
        <w:r>
          <w:rPr>
            <w:color w:val="176B91"/>
            <w:rFonts w:eastAsia="Noto Sans CJK SC" w:ascii="Noto Sans CJK SC" w:hAnsi="Noto Sans CJK SC"/>
          </w:rPr>
          <w:t>PostgreSQL versioning policy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支持周期与补丁维护；PostgreSQL 17 作为候选主版本，不承诺未来补丁时间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[R08]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8">
        <w:r>
          <w:rPr>
            <w:color w:val="176B91"/>
            <w:rFonts w:eastAsia="Noto Sans CJK SC" w:ascii="Noto Sans CJK SC" w:hAnsi="Noto Sans CJK SC"/>
          </w:rPr>
          <w:t>PostgreSQL 17 Row Security Policies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RLS、默认拒绝与 owner/superuser/BYPASSRLS 例外；权限体系仍需应用校验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[R09]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9">
        <w:r>
          <w:rPr>
            <w:color w:val="176B91"/>
            <w:rFonts w:eastAsia="Noto Sans CJK SC" w:ascii="Noto Sans CJK SC" w:hAnsi="Noto Sans CJK SC"/>
          </w:rPr>
          <w:t>Keycloak server administration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OIDC/SAML、身份代理、角色、会话与 LDAP 等候选身份能力；实际配置另验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[R10]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0">
        <w:r>
          <w:rPr>
            <w:color w:val="176B91"/>
            <w:rFonts w:eastAsia="Noto Sans CJK SC" w:ascii="Noto Sans CJK SC" w:hAnsi="Noto Sans CJK SC"/>
          </w:rPr>
          <w:t>AQM 26.1 Editions and lifecycle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发布、需求、测试计划、实验室、缺陷及报表的业务主线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[R11]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1">
        <w:r>
          <w:rPr>
            <w:color w:val="176B91"/>
            <w:rFonts w:eastAsia="Noto Sans CJK SC" w:ascii="Noto Sans CJK SC" w:hAnsi="Noto Sans CJK SC"/>
          </w:rPr>
          <w:t>AQM 26.1 BPT test-plan actions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BPT 组件、流程及 Packaged Apps Kit 相关能力需单列核验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[R12]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2">
        <w:r>
          <w:rPr>
            <w:color w:val="176B91"/>
            <w:rFonts w:eastAsia="Noto Sans CJK SC" w:ascii="Noto Sans CJK SC" w:hAnsi="Noto Sans CJK SC"/>
          </w:rPr>
          <w:t>GitHub CLI gh repo create</w:t>
        </w:r>
      </w:hyperlink>
      <w:r>
        <w:rPr>
          <w:rFonts w:ascii="Noto Sans CJK SC" w:hAnsi="Noto Sans CJK SC" w:eastAsia="Noto Sans CJK SC" w:cs="Noto Sans CJK SC"/>
          <w:sz w:val="18"/>
        </w:rPr>
        <w:t>；</w:t>
      </w:r>
      <w:hyperlink r:id="rId23">
        <w:r>
          <w:rPr>
            <w:color w:val="176B91"/>
            <w:rFonts w:eastAsia="Noto Sans CJK SC" w:ascii="Noto Sans CJK SC" w:hAnsi="Noto Sans CJK SC"/>
          </w:rPr>
          <w:t>gh auth login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本地发布脚本的创建私有仓库、认证与推送命令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[R13]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4">
        <w:r>
          <w:rPr>
            <w:color w:val="176B91"/>
            <w:rFonts w:eastAsia="Noto Sans CJK SC" w:ascii="Noto Sans CJK SC" w:hAnsi="Noto Sans CJK SC"/>
          </w:rPr>
          <w:t>OpenAPI Specification 3.1.0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原生接口契约示例格式；示例不是旧 ALM API 的兼容实现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[R14]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5">
        <w:r>
          <w:rPr>
            <w:color w:val="176B91"/>
            <w:rFonts w:eastAsia="Noto Sans CJK SC" w:ascii="Noto Sans CJK SC" w:hAnsi="Noto Sans CJK SC"/>
          </w:rPr>
          <w:t>.NET releases and support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Windows 桥接候选 .NET 10 LTS；COM 细节和目标系统需专项验证</w:t>
      </w:r>
    </w:p>
    <w:p>
      <w:r>
        <w:rPr>
          <w:rFonts w:ascii="Noto Sans CJK SC" w:hAnsi="Noto Sans CJK SC" w:eastAsia="Noto Sans CJK SC" w:cs="Noto Sans CJK SC"/>
          <w:sz w:val="19"/>
        </w:rPr>
        <w:t xml:space="preserve">[R15] </w:t>
      </w:r>
      <w:hyperlink r:id="rId26">
        <w:r>
          <w:rPr>
            <w:color w:val="176B91"/>
            <w:rFonts w:eastAsia="Noto Sans CJK SC" w:ascii="Noto Sans CJK SC" w:hAnsi="Noto Sans CJK SC"/>
          </w:rPr>
          <w:t>Vite Getting Started</w:t>
        </w:r>
      </w:hyperlink>
      <w:r>
        <w:rPr>
          <w:rFonts w:ascii="Noto Sans CJK SC" w:hAnsi="Noto Sans CJK SC" w:eastAsia="Noto Sans CJK SC" w:cs="Noto Sans CJK SC"/>
          <w:sz w:val="19"/>
        </w:rPr>
        <w:t xml:space="preserve">；[R16] </w:t>
      </w:r>
      <w:hyperlink r:id="rId27">
        <w:r>
          <w:rPr>
            <w:color w:val="176B91"/>
            <w:rFonts w:eastAsia="Noto Sans CJK SC" w:ascii="Noto Sans CJK SC" w:hAnsi="Noto Sans CJK SC"/>
          </w:rPr>
          <w:t>Docker Compose Quickstart</w:t>
        </w:r>
      </w:hyperlink>
      <w:r>
        <w:rPr>
          <w:rFonts w:ascii="Noto Sans CJK SC" w:hAnsi="Noto Sans CJK SC" w:eastAsia="Noto Sans CJK SC" w:cs="Noto Sans CJK SC"/>
          <w:sz w:val="19"/>
        </w:rPr>
        <w:t>。仅用于脚手架与开发环境命令形式。</w:t>
      </w:r>
    </w:p>
    <w:p>
      <w:r>
        <w:rPr>
          <w:rFonts w:ascii="Noto Sans CJK SC" w:hAnsi="Noto Sans CJK SC" w:eastAsia="Noto Sans CJK SC" w:cs="Noto Sans CJK SC"/>
          <w:sz w:val="18"/>
        </w:rPr>
        <w:t>完整来源、目标未确认项和GitHub操作状态见文件包 docs/03-sources-and-assumptions.md。32模块、192工作包及验收条数是原创工程分解，不是原厂官方功能数量。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76" w:bottom="1020" w:left="1276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26575"/>
        <w:sz w:val="16"/>
      </w:rPr>
      <w:t xml:space="preserve">内部规划  ·  V1.0  ·  2026-09-20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b/>
        <w:color w:val="183B56"/>
        <w:sz w:val="18"/>
      </w:rPr>
      <w:t>Test365Alm</w:t>
    </w:r>
    <w:r>
      <w:rPr>
        <w:rFonts w:ascii="Noto Sans CJK SC" w:hAnsi="Noto Sans CJK SC" w:eastAsia="Noto Sans CJK SC" w:cs="Noto Sans CJK SC"/>
        <w:color w:val="526575"/>
        <w:sz w:val="17"/>
      </w:rPr>
      <w:t xml:space="preserve">  /  项目实施计划书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/>
      <w:rFonts w:eastAsia="Noto Sans CJK SC"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83B56"/>
      <w:sz w:val="34"/>
      <w:szCs w:val="28"/>
      <w:rFonts w:eastAsia="Noto Sans CJK SC" w:ascii="Noto Sans CJK SC" w:hAnsi="Noto Sans CJK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83B56"/>
      <w:sz w:val="27"/>
      <w:szCs w:val="26"/>
      <w:rFonts w:eastAsia="Noto Sans CJK SC" w:ascii="Noto Sans CJK SC" w:hAnsi="Noto Sans CJK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Noto Sans CJK SC" w:hAnsi="Noto Sans CJK SC"/>
      <w:b/>
      <w:bCs/>
      <w:rFonts w:eastAsia="Noto Sans CJK SC" w:ascii="Noto Sans CJK SC" w:hAnsi="Noto Sans CJK SC"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20"/>
      <w:outlineLvl w:val="3"/>
    </w:pPr>
    <w:rPr>
      <w:rFonts w:asciiTheme="majorHAnsi" w:eastAsiaTheme="majorEastAsia" w:hAnsiTheme="majorHAnsi" w:cstheme="majorBidi" w:ascii="Noto Sans CJK SC" w:hAnsi="Noto Sans CJK SC"/>
      <w:b/>
      <w:bCs/>
      <w:i/>
      <w:iCs/>
      <w:rFonts w:eastAsia="Noto Sans CJK SC" w:ascii="Noto Sans CJK SC" w:hAnsi="Noto Sans CJK SC"/>
      <w:color w:val="183B5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color w:val="17365D" w:themeColor="text2" w:themeShade="BF"/>
      <w:spacing w:val="5"/>
      <w:kern w:val="28"/>
      <w:sz w:val="62"/>
      <w:szCs w:val="52"/>
      <w:rFonts w:eastAsia="Noto Sans CJK SC" w:ascii="Noto Sans CJK SC" w:hAnsi="Noto Sans CJK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/>
      <w:i/>
      <w:iCs/>
      <w:color w:val="4F81BD" w:themeColor="accent1"/>
      <w:spacing w:val="15"/>
      <w:sz w:val="24"/>
      <w:szCs w:val="24"/>
      <w:rFonts w:eastAsia="Noto Sans CJK SC" w:ascii="Noto Sans CJK SC" w:hAnsi="Noto Sans CJK SC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/>
      <w:ind w:left="720"/>
      <w:contextualSpacing/>
    </w:pPr>
    <w:rPr>
      <w:rFonts w:ascii="Noto Sans CJK SC" w:hAnsi="Noto Sans CJK SC"/>
      <w:rFonts w:eastAsia="Noto Sans CJK SC" w:ascii="Noto Sans CJK SC" w:hAnsi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/>
      <w:rFonts w:eastAsia="Noto Sans CJK SC" w:ascii="Noto Sans CJK SC" w:hAnsi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/>
      <w:b/>
      <w:bCs/>
      <w:color w:val="4F81BD" w:themeColor="accent1"/>
      <w:sz w:val="18"/>
      <w:szCs w:val="18"/>
      <w:rFonts w:eastAsia="Noto Sans CJK SC" w:ascii="Noto Sans CJK SC" w:hAnsi="Noto Sans CJK SC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mhelp.microfocus.com/documents/alm/alm-editions/ALM-Editions.htm" TargetMode="External"/><Relationship Id="rId12" Type="http://schemas.openxmlformats.org/officeDocument/2006/relationships/hyperlink" Target="https://admhelp.microfocus.com/alm/en/26.1/online_help/Content/api_guides_main_page.htm" TargetMode="External"/><Relationship Id="rId13" Type="http://schemas.openxmlformats.org/officeDocument/2006/relationships/hyperlink" Target="https://admhelp.microfocus.com/alm/en/26.1/online_help/Content/UG/c_libraries_overview.htm" TargetMode="External"/><Relationship Id="rId14" Type="http://schemas.openxmlformats.org/officeDocument/2006/relationships/hyperlink" Target="https://admhelp.microfocus.com/alm/en/26.1/online_help/Content/WF_Customization/wf_script_create.htm" TargetMode="External"/><Relationship Id="rId15" Type="http://schemas.openxmlformats.org/officeDocument/2006/relationships/hyperlink" Target="https://docs.spring.io/spring-boot/system-requirements.html" TargetMode="External"/><Relationship Id="rId16" Type="http://schemas.openxmlformats.org/officeDocument/2006/relationships/hyperlink" Target="https://nodejs.org/en/about/previous-releases" TargetMode="External"/><Relationship Id="rId17" Type="http://schemas.openxmlformats.org/officeDocument/2006/relationships/hyperlink" Target="https://www.postgresql.org/support/versioning/" TargetMode="External"/><Relationship Id="rId18" Type="http://schemas.openxmlformats.org/officeDocument/2006/relationships/hyperlink" Target="https://www.postgresql.org/docs/17/ddl-rowsecurity.html" TargetMode="External"/><Relationship Id="rId19" Type="http://schemas.openxmlformats.org/officeDocument/2006/relationships/hyperlink" Target="https://www.keycloak.org/docs/latest/server_admin/index.html" TargetMode="External"/><Relationship Id="rId20" Type="http://schemas.openxmlformats.org/officeDocument/2006/relationships/hyperlink" Target="https://admhelp.microfocus.com/alm/en/26.1/online_help/Content/UG/editions_lifecycle.htm" TargetMode="External"/><Relationship Id="rId21" Type="http://schemas.openxmlformats.org/officeDocument/2006/relationships/hyperlink" Target="https://admhelp.microfocus.com/alm/en/26.1/online_help/Content/BPT/ui_tpmenubuttons.htm" TargetMode="External"/><Relationship Id="rId22" Type="http://schemas.openxmlformats.org/officeDocument/2006/relationships/hyperlink" Target="https://cli.github.com/manual/gh_repo_create" TargetMode="External"/><Relationship Id="rId23" Type="http://schemas.openxmlformats.org/officeDocument/2006/relationships/hyperlink" Target="https://cli.github.com/manual/gh_auth_login" TargetMode="External"/><Relationship Id="rId24" Type="http://schemas.openxmlformats.org/officeDocument/2006/relationships/hyperlink" Target="https://spec.openapis.org/oas/v3.1.0" TargetMode="External"/><Relationship Id="rId25" Type="http://schemas.openxmlformats.org/officeDocument/2006/relationships/hyperlink" Target="https://learn.microsoft.com/en-us/dotnet/core/releases-and-support" TargetMode="External"/><Relationship Id="rId26" Type="http://schemas.openxmlformats.org/officeDocument/2006/relationships/hyperlink" Target="https://vite.dev/guide/" TargetMode="External"/><Relationship Id="rId27" Type="http://schemas.openxmlformats.org/officeDocument/2006/relationships/hyperlink" Target="https://docs.docker.com/compose/getting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Test365Alm 项目实施计划书</dc:title>
  <dc:subject>V1.0 立项评审与研发执行基线（未审批）</dc:subject>
  <dc:creator>Test365Alm 项目规划</dc:creator>
  <cp:keywords>Test365Alm, ALM, 项目计划, 实施方案</cp:keywords>
  <dc:description>独立规划文档，不表示产品已完成或预算已批准。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