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55816">
      <w:pPr>
        <w:snapToGrid w:val="0"/>
        <w:jc w:val="center"/>
        <w:outlineLvl w:val="0"/>
        <w:rPr>
          <w:rFonts w:hint="default" w:ascii="Times New Roman" w:hAnsi="Times New Roman" w:eastAsia="方正小标宋_GBK;微软雅黑" w:cs="Times New Roman"/>
          <w:sz w:val="44"/>
          <w:szCs w:val="44"/>
        </w:rPr>
      </w:pPr>
      <w:r>
        <w:rPr>
          <w:rFonts w:hint="default" w:ascii="Times New Roman" w:hAnsi="Times New Roman" w:eastAsia="宋体" w:cs="Times New Roman"/>
          <w:color w:val="auto"/>
        </w:rPr>
        <w:br w:type="textWrapping"/>
      </w:r>
      <w:r>
        <w:rPr>
          <w:rFonts w:hint="default" w:ascii="Times New Roman" w:hAnsi="Times New Roman" w:eastAsia="宋体" w:cs="Times New Roman"/>
          <w:color w:val="auto"/>
        </w:rPr>
        <w:br w:type="textWrapping"/>
      </w:r>
      <w:r>
        <w:rPr>
          <w:rFonts w:hint="default" w:ascii="Times New Roman" w:hAnsi="Times New Roman" w:eastAsia="宋体" w:cs="Times New Roman"/>
          <w:sz w:val="44"/>
          <w:szCs w:val="44"/>
        </w:rPr>
        <w:t>江南大学大学生创新创业训练计划</w:t>
      </w:r>
    </w:p>
    <w:p w14:paraId="297F988E">
      <w:pPr>
        <w:numPr>
          <w:ilvl w:val="0"/>
          <w:numId w:val="0"/>
        </w:numPr>
        <w:spacing w:before="312" w:after="312"/>
        <w:jc w:val="center"/>
        <w:outlineLvl w:val="0"/>
        <w:rPr>
          <w:rFonts w:hint="default" w:ascii="Times New Roman" w:hAnsi="Times New Roman" w:eastAsia="方正小标宋_GBK;微软雅黑" w:cs="Times New Roman"/>
          <w:b/>
          <w:bCs/>
          <w:sz w:val="44"/>
          <w:szCs w:val="44"/>
        </w:rPr>
      </w:pPr>
      <w:r>
        <w:rPr>
          <w:rFonts w:hint="default" w:ascii="Times New Roman" w:hAnsi="Times New Roman" w:eastAsia="宋体" w:cs="Times New Roman"/>
          <w:b/>
          <w:sz w:val="28"/>
        </w:rPr>
        <w:t>《   智能发酵食品酿造过程数字孪生   》</w:t>
      </w:r>
    </w:p>
    <w:p w14:paraId="4A336052">
      <w:pPr>
        <w:numPr>
          <w:ilvl w:val="0"/>
          <w:numId w:val="0"/>
        </w:numPr>
        <w:ind w:right="609"/>
        <w:jc w:val="center"/>
        <w:outlineLvl w:val="9"/>
        <w:rPr>
          <w:rFonts w:hint="default" w:ascii="Times New Roman" w:hAnsi="Times New Roman" w:eastAsia="方正小标宋_GBK;微软雅黑" w:cs="Times New Roman"/>
          <w:b/>
          <w:bCs/>
          <w:sz w:val="44"/>
          <w:szCs w:val="44"/>
        </w:rPr>
      </w:pPr>
    </w:p>
    <w:p w14:paraId="3CA051B6">
      <w:pPr>
        <w:spacing w:line="600" w:lineRule="exact"/>
        <w:ind w:right="0" w:firstLine="2860"/>
        <w:outlineLvl w:val="0"/>
        <w:rPr>
          <w:rFonts w:hint="default" w:ascii="Times New Roman" w:hAnsi="Times New Roman" w:eastAsia="隶书" w:cs="Times New Roman"/>
          <w:sz w:val="52"/>
          <w:szCs w:val="52"/>
        </w:rPr>
      </w:pPr>
      <w:r>
        <w:rPr>
          <w:rFonts w:hint="default" w:ascii="Times New Roman" w:hAnsi="Times New Roman" w:eastAsia="宋体" w:cs="Times New Roman"/>
          <w:sz w:val="44"/>
          <w:szCs w:val="44"/>
        </w:rPr>
        <w:t>成果佐证材料</w:t>
      </w:r>
    </w:p>
    <w:p w14:paraId="7DDC4F89">
      <w:pPr>
        <w:numPr>
          <w:ilvl w:val="0"/>
          <w:numId w:val="0"/>
        </w:numPr>
        <w:ind w:right="609"/>
        <w:jc w:val="center"/>
        <w:outlineLvl w:val="9"/>
        <w:rPr>
          <w:rFonts w:hint="default" w:ascii="Times New Roman" w:hAnsi="Times New Roman" w:eastAsia="隶书" w:cs="Times New Roman"/>
          <w:sz w:val="52"/>
          <w:szCs w:val="52"/>
        </w:rPr>
      </w:pPr>
    </w:p>
    <w:p w14:paraId="3F44E2CF">
      <w:pPr>
        <w:numPr>
          <w:ilvl w:val="0"/>
          <w:numId w:val="0"/>
        </w:numPr>
        <w:ind w:right="609"/>
        <w:jc w:val="center"/>
        <w:outlineLvl w:val="9"/>
        <w:rPr>
          <w:rFonts w:hint="default" w:ascii="Times New Roman" w:hAnsi="Times New Roman" w:eastAsia="隶书" w:cs="Times New Roman"/>
          <w:sz w:val="52"/>
          <w:szCs w:val="52"/>
        </w:rPr>
      </w:pPr>
    </w:p>
    <w:p w14:paraId="1D14CE71">
      <w:pPr>
        <w:numPr>
          <w:ilvl w:val="0"/>
          <w:numId w:val="0"/>
        </w:numPr>
        <w:tabs>
          <w:tab w:val="left" w:pos="8306"/>
        </w:tabs>
        <w:spacing w:before="0" w:after="20" w:line="264" w:lineRule="auto"/>
        <w:ind w:right="-199" w:firstLine="0"/>
        <w:jc w:val="left"/>
        <w:outlineLvl w:val="0"/>
        <w:rPr>
          <w:rFonts w:hint="default" w:ascii="Times New Roman" w:hAnsi="Times New Roman" w:cs="Times New Roman"/>
          <w:color w:val="808080"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4"/>
        </w:rPr>
        <w:t>一、GitHub 项目源码仓库：</w:t>
      </w:r>
      <w:r>
        <w:rPr>
          <w:rFonts w:hint="default" w:ascii="Times New Roman" w:hAnsi="Times New Roman" w:eastAsia="宋体" w:cs="Times New Roman"/>
          <w:b w:val="0"/>
          <w:color w:val="auto"/>
          <w:sz w:val="21"/>
          <w:szCs w:val="24"/>
          <w:u w:val="none"/>
        </w:rPr>
        <w:fldChar w:fldCharType="begin"/>
      </w:r>
      <w:r>
        <w:rPr>
          <w:rFonts w:hint="default" w:ascii="Times New Roman" w:hAnsi="Times New Roman" w:eastAsia="宋体" w:cs="Times New Roman"/>
          <w:b w:val="0"/>
          <w:color w:val="auto"/>
          <w:sz w:val="21"/>
          <w:szCs w:val="24"/>
          <w:u w:val="none"/>
        </w:rPr>
        <w:instrText xml:space="preserve"> HYPERLINK "https://github.com/fanhua317/Digital-Twin-for-Smart-Fermented-Food-Fermentation/tree/main" </w:instrText>
      </w:r>
      <w:r>
        <w:rPr>
          <w:rFonts w:hint="default" w:ascii="Times New Roman" w:hAnsi="Times New Roman" w:eastAsia="宋体" w:cs="Times New Roman"/>
          <w:b w:val="0"/>
          <w:color w:val="auto"/>
          <w:sz w:val="21"/>
          <w:szCs w:val="24"/>
          <w:u w:val="none"/>
        </w:rPr>
        <w:fldChar w:fldCharType="separate"/>
      </w:r>
      <w:r>
        <w:rPr>
          <w:rStyle w:val="135"/>
          <w:rFonts w:hint="default" w:ascii="Times New Roman" w:hAnsi="Times New Roman" w:eastAsia="宋体" w:cs="Times New Roman"/>
          <w:b w:val="0"/>
          <w:sz w:val="21"/>
          <w:szCs w:val="24"/>
        </w:rPr>
        <w:t>https://github.com/fanhua317/Digital-Twin-for-Smart-Fermented-Food-Fermentation</w:t>
      </w:r>
      <w:r>
        <w:rPr>
          <w:rFonts w:hint="default" w:ascii="Times New Roman" w:hAnsi="Times New Roman" w:eastAsia="宋体" w:cs="Times New Roman"/>
          <w:b w:val="0"/>
          <w:color w:val="auto"/>
          <w:sz w:val="21"/>
          <w:szCs w:val="24"/>
          <w:u w:val="none"/>
        </w:rPr>
        <w:fldChar w:fldCharType="end"/>
      </w:r>
    </w:p>
    <w:p w14:paraId="1EE91599">
      <w:pPr>
        <w:numPr>
          <w:ilvl w:val="0"/>
          <w:numId w:val="0"/>
        </w:numPr>
        <w:tabs>
          <w:tab w:val="left" w:pos="8306"/>
        </w:tabs>
        <w:spacing w:before="0" w:after="20" w:line="264" w:lineRule="auto"/>
        <w:ind w:right="-199" w:firstLine="0"/>
        <w:jc w:val="left"/>
        <w:outlineLvl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4"/>
        </w:rPr>
        <w:t>二、系统文档佐证：</w:t>
      </w:r>
      <w:r>
        <w:rPr>
          <w:rFonts w:hint="default" w:ascii="Times New Roman" w:hAnsi="Times New Roman" w:eastAsia="宋体" w:cs="Times New Roman"/>
          <w:b w:val="0"/>
          <w:sz w:val="21"/>
          <w:szCs w:val="24"/>
        </w:rPr>
        <w:t>项目总 README、frontend/src/components/3d/README.md 三维数字孪生模块说明、任务记录与调试验证记录。</w:t>
      </w:r>
    </w:p>
    <w:p w14:paraId="364BCE93">
      <w:pPr>
        <w:numPr>
          <w:ilvl w:val="0"/>
          <w:numId w:val="0"/>
        </w:numPr>
        <w:tabs>
          <w:tab w:val="left" w:pos="8306"/>
        </w:tabs>
        <w:spacing w:before="0" w:after="20" w:line="264" w:lineRule="auto"/>
        <w:ind w:right="-199" w:firstLine="0"/>
        <w:jc w:val="left"/>
        <w:outlineLvl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4"/>
        </w:rPr>
        <w:t>三、前端功能佐证：</w:t>
      </w:r>
      <w:r>
        <w:rPr>
          <w:rFonts w:hint="default" w:ascii="Times New Roman" w:hAnsi="Times New Roman" w:eastAsia="宋体" w:cs="Times New Roman"/>
          <w:b w:val="0"/>
          <w:sz w:val="21"/>
          <w:szCs w:val="24"/>
        </w:rPr>
        <w:t>Dashboard、PitMonitor、DeviceMonitor、AlarmCenter、ProductionManage、DigitalTwin 六个页面截图；ECharts 图表、窖池热力图、设备趋势图、告警处理流程和生产批次页面截图。</w:t>
      </w:r>
    </w:p>
    <w:p w14:paraId="302BB7CE">
      <w:pPr>
        <w:numPr>
          <w:ilvl w:val="0"/>
          <w:numId w:val="0"/>
        </w:numPr>
        <w:tabs>
          <w:tab w:val="left" w:pos="8306"/>
        </w:tabs>
        <w:spacing w:before="0" w:after="20" w:line="264" w:lineRule="auto"/>
        <w:ind w:right="-199" w:firstLine="0"/>
        <w:jc w:val="left"/>
        <w:outlineLvl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4"/>
        </w:rPr>
        <w:t>四、3D 仿真佐证：</w:t>
      </w:r>
      <w:r>
        <w:rPr>
          <w:rFonts w:hint="default" w:ascii="Times New Roman" w:hAnsi="Times New Roman" w:eastAsia="宋体" w:cs="Times New Roman"/>
          <w:b w:val="0"/>
          <w:sz w:val="21"/>
          <w:szCs w:val="24"/>
        </w:rPr>
        <w:t>Scene.tsx、AGVModel、DeviceModel、PitModel、DistillationTower、SimulationPanel、GlobalSimulationRunner 等源码截图；5 台 AGV 路径动画、设备物料状态、输送管道、蒸馏塔和物料交易日志运行截图。</w:t>
      </w:r>
    </w:p>
    <w:p w14:paraId="3B3406E3">
      <w:pPr>
        <w:numPr>
          <w:ilvl w:val="0"/>
          <w:numId w:val="0"/>
        </w:numPr>
        <w:tabs>
          <w:tab w:val="left" w:pos="8306"/>
        </w:tabs>
        <w:spacing w:before="0" w:after="20" w:line="264" w:lineRule="auto"/>
        <w:ind w:right="-199" w:firstLine="0"/>
        <w:jc w:val="left"/>
        <w:outlineLvl w:val="0"/>
        <w:rPr>
          <w:rFonts w:hint="default" w:ascii="Times New Roman" w:hAnsi="Times New Roman" w:eastAsia="隶书" w:cs="Times New Roman"/>
          <w:sz w:val="56"/>
          <w:szCs w:val="56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4"/>
        </w:rPr>
        <w:t>五、后端与接口佐证：</w:t>
      </w:r>
      <w:r>
        <w:rPr>
          <w:rFonts w:hint="default" w:ascii="Times New Roman" w:hAnsi="Times New Roman" w:eastAsia="宋体" w:cs="Times New Roman"/>
          <w:b w:val="0"/>
          <w:sz w:val="21"/>
          <w:szCs w:val="24"/>
        </w:rPr>
        <w:t>Spring Boot 后端项目结构、实体模型、REST API、WebSocket、SimulatorService、热力图缓存、告警/生产接口对齐和 Docker Compose 部署配置截图。</w:t>
      </w:r>
    </w:p>
    <w:p w14:paraId="4C0C8B26">
      <w:pPr>
        <w:numPr>
          <w:ilvl w:val="0"/>
          <w:numId w:val="0"/>
        </w:numPr>
        <w:ind w:right="609"/>
        <w:jc w:val="center"/>
        <w:outlineLvl w:val="9"/>
        <w:rPr>
          <w:rFonts w:hint="default" w:ascii="Times New Roman" w:hAnsi="Times New Roman" w:eastAsia="宋体" w:cs="Times New Roman"/>
          <w:sz w:val="36"/>
          <w:szCs w:val="36"/>
        </w:rPr>
      </w:pPr>
    </w:p>
    <w:p w14:paraId="4262F4EC">
      <w:pPr>
        <w:numPr>
          <w:ilvl w:val="0"/>
          <w:numId w:val="0"/>
        </w:numPr>
        <w:ind w:right="609"/>
        <w:jc w:val="center"/>
        <w:outlineLvl w:val="9"/>
        <w:rPr>
          <w:rFonts w:hint="default" w:ascii="Times New Roman" w:hAnsi="Times New Roman" w:eastAsia="宋体" w:cs="Times New Roman"/>
          <w:sz w:val="36"/>
          <w:szCs w:val="36"/>
        </w:rPr>
      </w:pPr>
    </w:p>
    <w:p w14:paraId="6A836D15">
      <w:pPr>
        <w:numPr>
          <w:ilvl w:val="0"/>
          <w:numId w:val="0"/>
        </w:numPr>
        <w:ind w:right="609"/>
        <w:jc w:val="center"/>
        <w:outlineLvl w:val="9"/>
        <w:rPr>
          <w:rFonts w:hint="default" w:ascii="Times New Roman" w:hAnsi="Times New Roman" w:eastAsia="宋体" w:cs="Times New Roman"/>
          <w:sz w:val="36"/>
          <w:szCs w:val="36"/>
        </w:rPr>
      </w:pPr>
    </w:p>
    <w:p w14:paraId="08175FD6">
      <w:pPr>
        <w:numPr>
          <w:ilvl w:val="0"/>
          <w:numId w:val="0"/>
        </w:numPr>
        <w:ind w:right="609"/>
        <w:jc w:val="center"/>
        <w:outlineLvl w:val="9"/>
        <w:rPr>
          <w:rFonts w:hint="default" w:ascii="Times New Roman" w:hAnsi="Times New Roman" w:eastAsia="宋体" w:cs="Times New Roman"/>
          <w:sz w:val="36"/>
          <w:szCs w:val="36"/>
        </w:rPr>
      </w:pPr>
    </w:p>
    <w:p w14:paraId="158C83BF">
      <w:pPr>
        <w:numPr>
          <w:ilvl w:val="0"/>
          <w:numId w:val="0"/>
        </w:numPr>
        <w:ind w:right="609"/>
        <w:jc w:val="both"/>
        <w:outlineLvl w:val="9"/>
        <w:rPr>
          <w:rFonts w:hint="default" w:ascii="Times New Roman" w:hAnsi="Times New Roman" w:eastAsia="宋体" w:cs="Times New Roman"/>
          <w:sz w:val="36"/>
          <w:szCs w:val="36"/>
        </w:rPr>
      </w:pPr>
    </w:p>
    <w:p w14:paraId="4035AD6B">
      <w:pPr>
        <w:numPr>
          <w:ilvl w:val="0"/>
          <w:numId w:val="0"/>
        </w:numPr>
        <w:ind w:right="609"/>
        <w:jc w:val="both"/>
        <w:outlineLvl w:val="9"/>
        <w:rPr>
          <w:rFonts w:hint="default" w:ascii="Times New Roman" w:hAnsi="Times New Roman" w:eastAsia="宋体" w:cs="Times New Roman"/>
          <w:sz w:val="36"/>
          <w:szCs w:val="36"/>
        </w:rPr>
      </w:pPr>
    </w:p>
    <w:p w14:paraId="47BB37AB">
      <w:pPr>
        <w:numPr>
          <w:ilvl w:val="0"/>
          <w:numId w:val="0"/>
        </w:numPr>
        <w:ind w:right="609"/>
        <w:jc w:val="center"/>
        <w:outlineLvl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eastAsia="宋体" w:cs="Times New Roman"/>
          <w:sz w:val="36"/>
          <w:szCs w:val="36"/>
        </w:rPr>
        <w:t>江 南 大 学</w:t>
      </w:r>
    </w:p>
    <w:p w14:paraId="31551A69">
      <w:pPr>
        <w:numPr>
          <w:ilvl w:val="0"/>
          <w:numId w:val="0"/>
        </w:numPr>
        <w:ind w:right="609"/>
        <w:jc w:val="center"/>
        <w:outlineLvl w:val="0"/>
        <w:rPr>
          <w:rFonts w:hint="eastAsia" w:ascii="Times New Roman" w:hAnsi="Times New Roman" w:eastAsia="宋体" w:cs="Times New Roman"/>
          <w:color w:val="auto"/>
          <w:lang w:eastAsia="zh-C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二○二六 年 五月</w:t>
      </w:r>
    </w:p>
    <w:p w14:paraId="36CD4AE8">
      <w:pPr>
        <w:pStyle w:val="3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一、GitHub 项目源码仓库</w:t>
      </w:r>
    </w:p>
    <w:p w14:paraId="73CD05EE">
      <w:pPr>
        <w:bidi w:val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</w:rPr>
        <w:t>仓库地址</w:t>
      </w:r>
      <w:r>
        <w:rPr>
          <w:rFonts w:hint="default" w:ascii="Times New Roman" w:hAnsi="Times New Roman" w:eastAsia="宋体" w:cs="Times New Roman"/>
          <w:b/>
          <w:color w:val="auto"/>
          <w:sz w:val="21"/>
        </w:rPr>
        <w:t>：</w:t>
      </w:r>
      <w:r>
        <w:rPr>
          <w:rFonts w:hint="default" w:ascii="Times New Roman" w:hAnsi="Times New Roman" w:eastAsia="宋体" w:cs="Times New Roman"/>
          <w:b w:val="0"/>
          <w:color w:val="auto"/>
          <w:sz w:val="20"/>
          <w:u w:val="none"/>
        </w:rPr>
        <w:fldChar w:fldCharType="begin"/>
      </w:r>
      <w:r>
        <w:rPr>
          <w:rFonts w:hint="default" w:ascii="Times New Roman" w:hAnsi="Times New Roman" w:eastAsia="宋体" w:cs="Times New Roman"/>
          <w:b w:val="0"/>
          <w:color w:val="auto"/>
          <w:sz w:val="20"/>
          <w:u w:val="none"/>
        </w:rPr>
        <w:instrText xml:space="preserve"> HYPERLINK "https://github.com/fanhua317/Digital-Twin-for-Smart-Fermented-Food-Fermentation/tree/main" </w:instrText>
      </w:r>
      <w:r>
        <w:rPr>
          <w:rFonts w:hint="default" w:ascii="Times New Roman" w:hAnsi="Times New Roman" w:eastAsia="宋体" w:cs="Times New Roman"/>
          <w:b w:val="0"/>
          <w:color w:val="auto"/>
          <w:sz w:val="20"/>
          <w:u w:val="none"/>
        </w:rPr>
        <w:fldChar w:fldCharType="separate"/>
      </w:r>
      <w:r>
        <w:rPr>
          <w:rStyle w:val="135"/>
          <w:rFonts w:hint="default" w:ascii="Times New Roman" w:hAnsi="Times New Roman" w:eastAsia="宋体" w:cs="Times New Roman"/>
          <w:b w:val="0"/>
          <w:sz w:val="20"/>
        </w:rPr>
        <w:t>https://github.com/fanhua317/Digital-Twin-for-Smart-Fermented-Food-Fermentation</w:t>
      </w:r>
      <w:r>
        <w:rPr>
          <w:rFonts w:hint="default" w:ascii="Times New Roman" w:hAnsi="Times New Roman" w:eastAsia="宋体" w:cs="Times New Roman"/>
          <w:b w:val="0"/>
          <w:color w:val="auto"/>
          <w:sz w:val="20"/>
          <w:u w:val="none"/>
        </w:rPr>
        <w:fldChar w:fldCharType="end"/>
      </w:r>
    </w:p>
    <w:p w14:paraId="2A903EFF">
      <w:pPr>
        <w:pStyle w:val="3"/>
        <w:jc w:val="center"/>
        <w:outlineLvl w:val="9"/>
      </w:pPr>
      <w:r>
        <w:drawing>
          <wp:inline distT="0" distB="0" distL="114300" distR="114300">
            <wp:extent cx="5980430" cy="3693795"/>
            <wp:effectExtent l="0" t="0" r="1270" b="190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0A8C7">
      <w:pPr>
        <w:bidi w:val="0"/>
        <w:jc w:val="center"/>
        <w:rPr>
          <w:rFonts w:hint="default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7"/>
        </w:rPr>
        <w:t>图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17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7"/>
        </w:rPr>
        <w:t xml:space="preserve">-1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7"/>
          <w:szCs w:val="28"/>
          <w:lang w:val="en-US" w:eastAsia="en-US" w:bidi="ar-SA"/>
        </w:rPr>
        <w:t>GitHub 项目源码仓库</w:t>
      </w:r>
    </w:p>
    <w:p w14:paraId="1DD46E25">
      <w:pPr>
        <w:pStyle w:val="3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二、系统文档佐证</w:t>
      </w:r>
    </w:p>
    <w:p w14:paraId="60CC3744">
      <w:pPr>
        <w:pStyle w:val="4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2.1  三维数字孪生模块说明（3d/README.md）</w:t>
      </w:r>
    </w:p>
    <w:p w14:paraId="51D4D926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0"/>
        </w:rPr>
        <w:t>基于 React Three Fiber + Three.js 0.182 实现的酿酒车间 3D 数字孪生场景，所有元素由后端 ProcessSimulationService 通过 WebSocket sim_snapshot 帧实时驱动。主要文件：Scene.tsx（主场景）、PitModel.tsx（100窖池实例化）、AGVModel.tsx（8台AGV时间基插值动画）、DeviceModel.tsx（5核心设备）、DistillationTower.tsx（蒸馏塔+摘酒动画）、SimulationController.tsx（7步工艺导览）、PerformanceAnalysis.tsx（OEE/出酒率实时图表）。数据流：ProcessSimulationService → WebSocket /ws/realtime → useWebSocket hook → Zustand store → 3D组件。</w:t>
      </w:r>
    </w:p>
    <w:p w14:paraId="4B92EB82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2D3DA9A6">
      <w:pPr>
        <w:pStyle w:val="3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三、前端功能佐证</w:t>
      </w:r>
    </w:p>
    <w:p w14:paraId="79AB82D6">
      <w:pPr>
        <w:pStyle w:val="4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3.1  综合监控中心（Dashboard）</w:t>
      </w:r>
    </w:p>
    <w:p w14:paraId="488FEF40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0"/>
        </w:rPr>
        <w:t>4个实时KPI（窖池总数100/设备总数53/活跃告警/累计产量）+ 窖池状态分布饼图 + 设备状态分布饼图 + 24小时告警趋势折线图 + 生产批次进度条，通过WebSocket实时同步。</w:t>
      </w:r>
    </w:p>
    <w:p w14:paraId="7A8E9AE7">
      <w:pPr>
        <w:spacing w:after="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120640" cy="3693795"/>
            <wp:effectExtent l="0" t="0" r="1016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9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E515">
      <w:pPr>
        <w:spacing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7"/>
        </w:rPr>
        <w:t>图3-1  综合监控中心 Dashboard</w:t>
      </w:r>
    </w:p>
    <w:p w14:paraId="3ECF08A5">
      <w:pPr>
        <w:pStyle w:val="4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3.2  窖池监控（Pit Monitor）</w:t>
      </w:r>
    </w:p>
    <w:p w14:paraId="3FB39214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0"/>
        </w:rPr>
        <w:t>100个窖池温度热力图 + 窖池列表（工艺阶段/糟醅类型/状态/发酵天数），支持过滤搜索分页。</w:t>
      </w:r>
    </w:p>
    <w:p w14:paraId="5FE1C19D">
      <w:pPr>
        <w:spacing w:after="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120640" cy="5386705"/>
            <wp:effectExtent l="0" t="0" r="1016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38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701D">
      <w:pPr>
        <w:spacing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7"/>
        </w:rPr>
        <w:t>图3-2  窖池监控（热力图 + 100窖池列表）</w:t>
      </w:r>
    </w:p>
    <w:p w14:paraId="3C74062E">
      <w:pPr>
        <w:pStyle w:val="4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3.3  窖池详情</w:t>
      </w:r>
    </w:p>
    <w:p w14:paraId="767769E2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0"/>
        </w:rPr>
        <w:t>点击查看详情：13项工艺参数（入窖温度/水分/酸度/淀粉/粮糠比/粮曲比/粮醅比等）+ 实时传感器（温度/湿度/pH/酒精含量）+ 24小时历史趋势折线图。</w:t>
      </w:r>
    </w:p>
    <w:p w14:paraId="4DC8465C">
      <w:pPr>
        <w:spacing w:after="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120640" cy="2880360"/>
            <wp:effectExtent l="0" t="0" r="1016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9023">
      <w:pPr>
        <w:spacing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7"/>
        </w:rPr>
        <w:t>图3-3  窖池详情弹窗（A-001，13工艺参数 + 传感器历史曲线）</w:t>
      </w:r>
    </w:p>
    <w:p w14:paraId="17EC53F1">
      <w:pPr>
        <w:pStyle w:val="4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3.4  设备管理（Device Monitor）</w:t>
      </w:r>
    </w:p>
    <w:p w14:paraId="4261D54C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0"/>
        </w:rPr>
        <w:t>53台设备（5核心+8AGV+40辅助）+ 设备类型分布饼图 + 维护提醒进度条 + 状态色卡（运行中/停机/故障），支持查看单设备运行历史和告警历史。</w:t>
      </w:r>
    </w:p>
    <w:p w14:paraId="6FC19C90">
      <w:pPr>
        <w:spacing w:after="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120640" cy="5226050"/>
            <wp:effectExtent l="0" t="0" r="1016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22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8B9B">
      <w:pPr>
        <w:spacing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7"/>
        </w:rPr>
        <w:t>图3-4  设备管理（53台设备 + 类型分布 + 维护提醒）</w:t>
      </w:r>
    </w:p>
    <w:p w14:paraId="01C96F7B">
      <w:pPr>
        <w:pStyle w:val="4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3.5  告警中心（Alarm Center）</w:t>
      </w:r>
    </w:p>
    <w:p w14:paraId="7E1A3195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0"/>
        </w:rPr>
        <w:t>活跃告警57条，CRITICAL/WARNING/INFO多级别，告警级别分布饼图 + 告警列表（来源/类型/信息/时间），支持一键解决和批量操作。</w:t>
      </w:r>
    </w:p>
    <w:p w14:paraId="5A45F112">
      <w:pPr>
        <w:spacing w:after="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120640" cy="3529965"/>
            <wp:effectExtent l="0" t="0" r="1016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3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37C3">
      <w:pPr>
        <w:spacing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7"/>
        </w:rPr>
        <w:t>图3-5  告警中心（57条活跃告警 + 级别分布）</w:t>
      </w:r>
    </w:p>
    <w:p w14:paraId="3529C4C3">
      <w:pPr>
        <w:pStyle w:val="4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3.6  生产管理（Production Manage）</w:t>
      </w:r>
    </w:p>
    <w:p w14:paraId="15C77082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0"/>
        </w:rPr>
        <w:t>生产批次列表（批次编号/目标产量/状态/创建时间）+ 7日产量趋势图 + 三联储罐存量（头酒5%/中段85%/尾酒10%）+ 工艺参数面板（制曲/发酵/蒸馏关键参数）。</w:t>
      </w:r>
    </w:p>
    <w:p w14:paraId="7762A29D">
      <w:pPr>
        <w:spacing w:after="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120640" cy="5367655"/>
            <wp:effectExtent l="0" t="0" r="1016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36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ABCC">
      <w:pPr>
        <w:spacing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7"/>
        </w:rPr>
        <w:t>图3-6  生产管理（批次列表 + 产量趋势 + 储罐存量）</w:t>
      </w:r>
    </w:p>
    <w:p w14:paraId="75E6A3A9">
      <w:pPr>
        <w:pStyle w:val="4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3.7  数字孪生仿真模拟页</w:t>
      </w:r>
    </w:p>
    <w:p w14:paraId="06033F0E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0"/>
        </w:rPr>
        <w:t>7步工艺导览（起糟→配料→上甑→蒸馏→出甑→摊凉加曲→入池发酵）+ 暂停/继续/重置控制条 + 步骤自动定位摄像机 + 3D场景实时联动。</w:t>
      </w:r>
    </w:p>
    <w:p w14:paraId="19A5A0A2">
      <w:pPr>
        <w:spacing w:after="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120640" cy="2880360"/>
            <wp:effectExtent l="0" t="0" r="1016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86D7">
      <w:pPr>
        <w:spacing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7"/>
        </w:rPr>
        <w:t>图3-7  仿真模拟页（7步工艺导览 + 3D场景联动）</w:t>
      </w:r>
    </w:p>
    <w:p w14:paraId="244C186A">
      <w:pPr>
        <w:pStyle w:val="4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3.8  实时数据面板</w:t>
      </w:r>
    </w:p>
    <w:p w14:paraId="5117DE0C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0"/>
        </w:rPr>
        <w:t>AGV实时状态（位置/任务/货物/重量/温度/pH）+ 设备物料流量 + 原料仓库存 + 储罐蓄酒量，每500ms WebSocket推送同步。</w:t>
      </w:r>
    </w:p>
    <w:p w14:paraId="4EA6CA78">
      <w:pPr>
        <w:spacing w:after="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120640" cy="2880360"/>
            <wp:effectExtent l="0" t="0" r="1016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746C">
      <w:pPr>
        <w:spacing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7"/>
        </w:rPr>
        <w:t>图3-8  实时数据面板（AGV状态 + 设备物料 + 原料仓）</w:t>
      </w:r>
    </w:p>
    <w:p w14:paraId="6853A665">
      <w:pPr>
        <w:pStyle w:val="4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3.9  性能分析</w:t>
      </w:r>
    </w:p>
    <w:p w14:paraId="798B2F42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0"/>
        </w:rPr>
        <w:t>OEE综合设备效率、可用率、能耗效率、出酒率雷达图及趋势图实时计算展示。</w:t>
      </w:r>
    </w:p>
    <w:p w14:paraId="256B61C6">
      <w:pPr>
        <w:spacing w:after="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120640" cy="2880360"/>
            <wp:effectExtent l="0" t="0" r="1016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259B">
      <w:pPr>
        <w:spacing w:after="80"/>
        <w:jc w:val="center"/>
        <w:rPr>
          <w:rFonts w:hint="default" w:ascii="Times New Roman" w:hAnsi="Times New Roman" w:eastAsia="宋体" w:cs="Times New Roman"/>
          <w:color w:val="auto"/>
          <w:sz w:val="17"/>
        </w:rPr>
      </w:pPr>
      <w:r>
        <w:rPr>
          <w:rFonts w:hint="default" w:ascii="Times New Roman" w:hAnsi="Times New Roman" w:eastAsia="宋体" w:cs="Times New Roman"/>
          <w:color w:val="auto"/>
          <w:sz w:val="17"/>
        </w:rPr>
        <w:t>图3-9  性能分析（OEE / 能耗 / 出酒率）</w:t>
      </w:r>
    </w:p>
    <w:p w14:paraId="2F5F7C58">
      <w:pPr>
        <w:pStyle w:val="3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四、3D 仿真佐证</w:t>
      </w:r>
    </w:p>
    <w:p w14:paraId="7C30CDCA">
      <w:pPr>
        <w:pStyle w:val="4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4.1  3D 车间全景运行截图</w:t>
      </w:r>
    </w:p>
    <w:p w14:paraId="44990A41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0"/>
        </w:rPr>
        <w:t>8台AGV同时运行时间基插值动画，500ms/tick，60fps无卡顿。工艺链路：A/C区窖池 → 搅拌机 → 上甑机器人 → 蒸馏塔 → 摊凉机 → B/D区窖池。画布外HUD实时显示全厂总览/摊凉机三段温度/原料三仓/三联储罐数据。</w:t>
      </w:r>
    </w:p>
    <w:p w14:paraId="5892423B">
      <w:pPr>
        <w:spacing w:after="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120640" cy="2880360"/>
            <wp:effectExtent l="0" t="0" r="1016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39B3">
      <w:pPr>
        <w:spacing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7"/>
        </w:rPr>
        <w:t>图4-1  3D车间全景（8台AGV路径动画 + 100窖池 + 5核心设备）</w:t>
      </w:r>
    </w:p>
    <w:p w14:paraId="561D0AA4">
      <w:pPr>
        <w:spacing w:after="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120640" cy="2880360"/>
            <wp:effectExtent l="0" t="0" r="1016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D4DF">
      <w:pPr>
        <w:spacing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7"/>
        </w:rPr>
        <w:t>图4-2  数字孪生车间概览（3D实时同步 + 画布外HUD + 工艺流程总览）</w:t>
      </w:r>
    </w:p>
    <w:p w14:paraId="4E5DEB10">
      <w:pPr>
        <w:pStyle w:val="4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4.2  Scene.tsx — 3D 主场景</w:t>
      </w:r>
    </w:p>
    <w:p w14:paraId="35BDFF7E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0"/>
        </w:rPr>
        <w:t>主场景容器，包含灯光、相机、100窖池、5核心设备、8AGV、输送管道、蒸馏塔及画布外HUD。AGVModel 的 props 只有 agvId 和 isPlaying，挂载后永不变化，彻底消除 React re-render。</w:t>
      </w:r>
    </w:p>
    <w:p w14:paraId="26408696">
      <w:pPr>
        <w:spacing w:after="20"/>
        <w:outlineLvl w:val="2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</w:rPr>
        <w:t>Scene.tsx — AGV常量化渲染 + WaterPipe管道</w:t>
      </w:r>
    </w:p>
    <w:p w14:paraId="63181659">
      <w:pPr>
        <w:spacing w:before="4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drawing>
          <wp:inline distT="0" distB="0" distL="114300" distR="114300">
            <wp:extent cx="5120640" cy="2779395"/>
            <wp:effectExtent l="0" t="0" r="1016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7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5472">
      <w:pPr>
        <w:pStyle w:val="4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4.3  AGVModel.tsx — 时间基插值动画（架构核心）</w:t>
      </w:r>
    </w:p>
    <w:p w14:paraId="2007AE37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0"/>
        </w:rPr>
        <w:t>AGV动画完全在 useFrame 内完成，直读模块级 liveAgvCache 缓存，零 React reconciliation 参与位置更新，实现60fps平滑动画。</w:t>
      </w:r>
    </w:p>
    <w:p w14:paraId="6285ABC7">
      <w:pPr>
        <w:spacing w:after="20"/>
        <w:outlineLvl w:val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</w:rPr>
        <w:t>AGVModel.tsx — useFrame时间基插值核心逻辑</w:t>
      </w:r>
    </w:p>
    <w:p w14:paraId="313AAA58">
      <w:pPr>
        <w:spacing w:before="40" w:after="80"/>
        <w:jc w:val="center"/>
      </w:pPr>
      <w:r>
        <w:drawing>
          <wp:inline distT="0" distB="0" distL="114300" distR="114300">
            <wp:extent cx="5120640" cy="3457575"/>
            <wp:effectExtent l="0" t="0" r="1016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1980">
      <w:pPr>
        <w:pStyle w:val="4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4.4  DeviceModel.tsx / DistillationTower.tsx / PitModel.tsx</w:t>
      </w:r>
    </w:p>
    <w:p w14:paraId="68906C0A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0"/>
        </w:rPr>
        <w:t>DeviceModel：5核心设备（搅拌机/上甑机器人/蒸馏塔/摊凉机/输送泵），按物料输入/输出状态动态着色。DistillationTower：高塔 + 三联储罐（头酒/中段/尾酒）+ 摘酒液面动画 + PUMP水管道。PitModel：100个窖池按 stage 和 grainType 颜色编码（空池/入池中/发酵中/待起糟/起糟中），React.memo 包裹，仅自身状态变化时重渲。</w:t>
      </w:r>
    </w:p>
    <w:p w14:paraId="1A1EC909">
      <w:pPr>
        <w:spacing w:after="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</w:rPr>
        <w:t>PitModel.tsx / DistillationTower.tsx — 关键片段</w:t>
      </w:r>
    </w:p>
    <w:p w14:paraId="7E427A84">
      <w:pPr>
        <w:spacing w:before="40" w:after="80"/>
        <w:jc w:val="center"/>
      </w:pPr>
      <w:r>
        <w:drawing>
          <wp:inline distT="0" distB="0" distL="114300" distR="114300">
            <wp:extent cx="5120640" cy="2593975"/>
            <wp:effectExtent l="0" t="0" r="1016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9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8C70">
      <w:pPr>
        <w:rPr>
          <w:rFonts w:hint="default" w:ascii="Times New Roman" w:hAnsi="Times New Roman" w:eastAsia="宋体" w:cs="Times New Roman"/>
          <w:color w:val="auto"/>
        </w:rPr>
      </w:pPr>
    </w:p>
    <w:p w14:paraId="4F6BEE68">
      <w:pPr>
        <w:pStyle w:val="4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4.5  SimulationPanel.tsx / GlobalSimulationRunner.tsx</w:t>
      </w:r>
    </w:p>
    <w:p w14:paraId="13606ECB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0"/>
        </w:rPr>
        <w:t>SimulationPanel：实时数据面板，展示AGV任务状态卡、设备物料流量、原料三仓（粉粮/稻壳/曲粉）库存、三联储罐蓄酒量，每500ms WebSocket推送刷新。GlobalSimulationRunner：全局单例组件，在应用顶层挂载 WebSocket 连接，确保跨页面路由切换不断开连接，sim_snapshot 帧持续更新 liveAgvCache。</w:t>
      </w:r>
    </w:p>
    <w:p w14:paraId="5FB02241">
      <w:pPr>
        <w:spacing w:after="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</w:rPr>
        <w:t>GlobalSimulationRunner.tsx + useWebSocket.ts 节选</w:t>
      </w:r>
    </w:p>
    <w:p w14:paraId="6298FD13">
      <w:pPr>
        <w:spacing w:before="40" w:after="80"/>
        <w:jc w:val="center"/>
      </w:pPr>
      <w:r>
        <w:drawing>
          <wp:inline distT="0" distB="0" distL="114300" distR="114300">
            <wp:extent cx="5120640" cy="3140075"/>
            <wp:effectExtent l="0" t="0" r="1016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4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7EFF">
      <w:pPr>
        <w:pStyle w:val="3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五、后端与接口佐证</w:t>
      </w:r>
    </w:p>
    <w:p w14:paraId="693CF0CD">
      <w:pPr>
        <w:pStyle w:val="4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5.1  Spring Boot 项目结构</w:t>
      </w:r>
    </w:p>
    <w:p w14:paraId="05454312">
      <w:pPr>
        <w:spacing w:after="20"/>
        <w:outlineLvl w:val="2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</w:rPr>
        <w:t>backend-java 项目结构</w:t>
      </w:r>
    </w:p>
    <w:p w14:paraId="2EC3E0EF">
      <w:pPr>
        <w:spacing w:before="4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drawing>
          <wp:inline distT="0" distB="0" distL="114300" distR="114300">
            <wp:extent cx="5120640" cy="3293110"/>
            <wp:effectExtent l="0" t="0" r="1016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9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21C2">
      <w:pPr>
        <w:pStyle w:val="4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5.2  JPA 实体模型 — Pit.java（关键字段）</w:t>
      </w:r>
    </w:p>
    <w:p w14:paraId="14AB28BB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0"/>
        </w:rPr>
        <w:t>窖池实体，13个工艺参数字段，存储100个窖池全量数据，工艺阶段（empty/filling/fermenting/ready/discharging）驱动前端3D颜色编码。</w:t>
      </w:r>
    </w:p>
    <w:p w14:paraId="2F43B689">
      <w:pPr>
        <w:spacing w:after="20"/>
        <w:outlineLvl w:val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</w:rPr>
        <w:t>entity/Pit.java — 关键字段</w:t>
      </w:r>
    </w:p>
    <w:p w14:paraId="01C07215">
      <w:pPr>
        <w:spacing w:before="4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drawing>
          <wp:inline distT="0" distB="0" distL="114300" distR="114300">
            <wp:extent cx="5120640" cy="2653665"/>
            <wp:effectExtent l="0" t="0" r="1016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5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1224">
      <w:pPr>
        <w:pStyle w:val="4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5.3  REST API — SimulationController.java</w:t>
      </w:r>
    </w:p>
    <w:p w14:paraId="121A0BE2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0"/>
        </w:rPr>
        <w:t>提供工艺快照、暂停、继续、重置四个端点；前端在WebSocket未连通时通过 GET /snapshot 拉取首帧，也可手动调用 POST /pause、/resume、/reset 控制仿真进程。</w:t>
      </w:r>
    </w:p>
    <w:p w14:paraId="035A48C0">
      <w:pPr>
        <w:spacing w:after="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</w:rPr>
        <w:t>controller/SimulationController.java</w:t>
      </w:r>
    </w:p>
    <w:p w14:paraId="3C7594D4">
      <w:pPr>
        <w:spacing w:before="40" w:after="80"/>
        <w:jc w:val="center"/>
      </w:pPr>
      <w:r>
        <w:drawing>
          <wp:inline distT="0" distB="0" distL="114300" distR="114300">
            <wp:extent cx="5120640" cy="2958465"/>
            <wp:effectExtent l="0" t="0" r="1016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5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FCF6">
      <w:pPr>
        <w:rPr>
          <w:rFonts w:hint="default" w:ascii="Times New Roman" w:hAnsi="Times New Roman" w:eastAsia="宋体" w:cs="Times New Roman"/>
          <w:color w:val="auto"/>
        </w:rPr>
      </w:pPr>
    </w:p>
    <w:p w14:paraId="37165AD2">
      <w:pPr>
        <w:pStyle w:val="4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5.4  WebSocket 配置 + ProcessSimulationService（节选）</w:t>
      </w:r>
    </w:p>
    <w:p w14:paraId="74F00E20">
      <w:pPr>
        <w:spacing w:after="20"/>
        <w:outlineLvl w:val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</w:rPr>
        <w:t>config/WebSocketConfig.java（前30行）</w:t>
      </w:r>
    </w:p>
    <w:p w14:paraId="2AB9EECE">
      <w:pPr>
        <w:spacing w:before="40" w:after="80"/>
        <w:jc w:val="center"/>
      </w:pPr>
      <w:r>
        <w:drawing>
          <wp:inline distT="0" distB="0" distL="114300" distR="114300">
            <wp:extent cx="5120640" cy="3928745"/>
            <wp:effectExtent l="0" t="0" r="1016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2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F68D">
      <w:pPr>
        <w:rPr>
          <w:rFonts w:hint="default" w:ascii="Times New Roman" w:hAnsi="Times New Roman" w:eastAsia="宋体" w:cs="Times New Roman"/>
          <w:color w:val="auto"/>
        </w:rPr>
      </w:pPr>
    </w:p>
    <w:p w14:paraId="42F035D1">
      <w:pPr>
        <w:spacing w:after="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</w:rPr>
        <w:t>service/ProcessSimulationService.java（前40行，含@Scheduled配置）</w:t>
      </w:r>
    </w:p>
    <w:p w14:paraId="3E1F6984">
      <w:pPr>
        <w:spacing w:before="40" w:after="80"/>
        <w:jc w:val="center"/>
      </w:pPr>
      <w:r>
        <w:drawing>
          <wp:inline distT="0" distB="0" distL="114300" distR="114300">
            <wp:extent cx="5120640" cy="6078220"/>
            <wp:effectExtent l="0" t="0" r="1016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07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6825">
      <w:pPr>
        <w:rPr>
          <w:rFonts w:hint="default" w:ascii="Times New Roman" w:hAnsi="Times New Roman" w:eastAsia="宋体" w:cs="Times New Roman"/>
          <w:color w:val="auto"/>
        </w:rPr>
      </w:pPr>
    </w:p>
    <w:p w14:paraId="0C53B233">
      <w:pPr>
        <w:pStyle w:val="4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5.5  Docker Compose 部署配置 + application.yml</w:t>
      </w:r>
    </w:p>
    <w:p w14:paraId="6813C405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0"/>
        </w:rPr>
        <w:t>一键 docker-compose up 启动前后端；H2数据库文件持久化挂载（brewing-data卷），容器重启数据不丢失；前端 Nginx 反代，后端 Spring Boot 端口8000，仿真 tick 间隔500ms可配置。</w:t>
      </w:r>
    </w:p>
    <w:p w14:paraId="57702974">
      <w:pPr>
        <w:spacing w:after="20"/>
        <w:outlineLvl w:val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</w:rPr>
        <w:t>docker-compose.yml（全文）</w:t>
      </w:r>
    </w:p>
    <w:p w14:paraId="20DDEF0F">
      <w:pPr>
        <w:spacing w:before="40" w:after="80"/>
        <w:jc w:val="center"/>
      </w:pPr>
      <w:r>
        <w:drawing>
          <wp:inline distT="0" distB="0" distL="114300" distR="114300">
            <wp:extent cx="5120640" cy="4471670"/>
            <wp:effectExtent l="0" t="0" r="10160" b="114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4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1286">
      <w:pPr>
        <w:spacing w:after="20"/>
        <w:outlineLvl w:val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</w:rPr>
        <w:t>application.yml（关键配置节选）</w:t>
      </w:r>
    </w:p>
    <w:p w14:paraId="6510C3A6">
      <w:pPr>
        <w:spacing w:before="40" w:after="80"/>
        <w:jc w:val="center"/>
      </w:pPr>
      <w:r>
        <w:drawing>
          <wp:inline distT="0" distB="0" distL="114300" distR="114300">
            <wp:extent cx="5120640" cy="4429125"/>
            <wp:effectExtent l="0" t="0" r="1016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42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6808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5E1C44E0">
      <w:pPr>
        <w:pStyle w:val="3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附：REST API 速查表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1918"/>
        <w:gridCol w:w="2728"/>
        <w:gridCol w:w="3665"/>
      </w:tblGrid>
      <w:tr w14:paraId="41A50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4" w:type="dxa"/>
          </w:tcPr>
          <w:p w14:paraId="54DB1A33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模块</w:t>
            </w:r>
          </w:p>
        </w:tc>
        <w:tc>
          <w:tcPr>
            <w:tcW w:w="1918" w:type="dxa"/>
          </w:tcPr>
          <w:p w14:paraId="40870CC1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方法</w:t>
            </w:r>
          </w:p>
        </w:tc>
        <w:tc>
          <w:tcPr>
            <w:tcW w:w="2728" w:type="dxa"/>
          </w:tcPr>
          <w:p w14:paraId="12EB3C85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路径</w:t>
            </w:r>
          </w:p>
        </w:tc>
        <w:tc>
          <w:tcPr>
            <w:tcW w:w="3665" w:type="dxa"/>
          </w:tcPr>
          <w:p w14:paraId="06B6EE66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说明</w:t>
            </w:r>
          </w:p>
        </w:tc>
      </w:tr>
      <w:tr w14:paraId="5A88A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4" w:type="dxa"/>
          </w:tcPr>
          <w:p w14:paraId="45B71045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仿真</w:t>
            </w:r>
          </w:p>
        </w:tc>
        <w:tc>
          <w:tcPr>
            <w:tcW w:w="1918" w:type="dxa"/>
          </w:tcPr>
          <w:p w14:paraId="362EB767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GET</w:t>
            </w:r>
          </w:p>
        </w:tc>
        <w:tc>
          <w:tcPr>
            <w:tcW w:w="2728" w:type="dxa"/>
          </w:tcPr>
          <w:p w14:paraId="18381B01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/api/v1/simulation/snapshot</w:t>
            </w:r>
          </w:p>
        </w:tc>
        <w:tc>
          <w:tcPr>
            <w:tcW w:w="3665" w:type="dxa"/>
          </w:tcPr>
          <w:p w14:paraId="5D9EC9BA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工艺快照（AGV/设备/窖池/储罐全量）</w:t>
            </w:r>
          </w:p>
        </w:tc>
      </w:tr>
      <w:tr w14:paraId="62040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4" w:type="dxa"/>
          </w:tcPr>
          <w:p w14:paraId="0C8BD73E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仿真</w:t>
            </w:r>
          </w:p>
        </w:tc>
        <w:tc>
          <w:tcPr>
            <w:tcW w:w="1918" w:type="dxa"/>
          </w:tcPr>
          <w:p w14:paraId="68C49CC9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POST</w:t>
            </w:r>
          </w:p>
        </w:tc>
        <w:tc>
          <w:tcPr>
            <w:tcW w:w="2728" w:type="dxa"/>
          </w:tcPr>
          <w:p w14:paraId="688FB074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/api/v1/simulation/pause</w:t>
            </w:r>
          </w:p>
        </w:tc>
        <w:tc>
          <w:tcPr>
            <w:tcW w:w="3665" w:type="dxa"/>
          </w:tcPr>
          <w:p w14:paraId="5F4280B6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暂停仿真</w:t>
            </w:r>
          </w:p>
        </w:tc>
      </w:tr>
      <w:tr w14:paraId="0E35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4" w:type="dxa"/>
          </w:tcPr>
          <w:p w14:paraId="5E793BF2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仿真</w:t>
            </w:r>
          </w:p>
        </w:tc>
        <w:tc>
          <w:tcPr>
            <w:tcW w:w="1918" w:type="dxa"/>
          </w:tcPr>
          <w:p w14:paraId="252D1E97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POST</w:t>
            </w:r>
          </w:p>
        </w:tc>
        <w:tc>
          <w:tcPr>
            <w:tcW w:w="2728" w:type="dxa"/>
          </w:tcPr>
          <w:p w14:paraId="29C0BF97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/api/v1/simulation/resume</w:t>
            </w:r>
          </w:p>
        </w:tc>
        <w:tc>
          <w:tcPr>
            <w:tcW w:w="3665" w:type="dxa"/>
          </w:tcPr>
          <w:p w14:paraId="236561A5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继续仿真</w:t>
            </w:r>
          </w:p>
        </w:tc>
      </w:tr>
      <w:tr w14:paraId="4B7F5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4" w:type="dxa"/>
          </w:tcPr>
          <w:p w14:paraId="691040FC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仿真</w:t>
            </w:r>
          </w:p>
        </w:tc>
        <w:tc>
          <w:tcPr>
            <w:tcW w:w="1918" w:type="dxa"/>
          </w:tcPr>
          <w:p w14:paraId="2C799C75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POST</w:t>
            </w:r>
          </w:p>
        </w:tc>
        <w:tc>
          <w:tcPr>
            <w:tcW w:w="2728" w:type="dxa"/>
          </w:tcPr>
          <w:p w14:paraId="287754E6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/api/v1/simulation/reset</w:t>
            </w:r>
          </w:p>
        </w:tc>
        <w:tc>
          <w:tcPr>
            <w:tcW w:w="3665" w:type="dxa"/>
          </w:tcPr>
          <w:p w14:paraId="7ED56806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重置仿真，AGV归位</w:t>
            </w:r>
          </w:p>
        </w:tc>
      </w:tr>
      <w:tr w14:paraId="478D2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4" w:type="dxa"/>
          </w:tcPr>
          <w:p w14:paraId="17BF4DD5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监控</w:t>
            </w:r>
          </w:p>
        </w:tc>
        <w:tc>
          <w:tcPr>
            <w:tcW w:w="1918" w:type="dxa"/>
          </w:tcPr>
          <w:p w14:paraId="4B6967AA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GET</w:t>
            </w:r>
          </w:p>
        </w:tc>
        <w:tc>
          <w:tcPr>
            <w:tcW w:w="2728" w:type="dxa"/>
          </w:tcPr>
          <w:p w14:paraId="7AD12BE7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/api/v1/dashboard/stats</w:t>
            </w:r>
          </w:p>
        </w:tc>
        <w:tc>
          <w:tcPr>
            <w:tcW w:w="3665" w:type="dxa"/>
          </w:tcPr>
          <w:p w14:paraId="4E7A9F64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全厂统计KPI</w:t>
            </w:r>
          </w:p>
        </w:tc>
      </w:tr>
      <w:tr w14:paraId="1FBBE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4" w:type="dxa"/>
          </w:tcPr>
          <w:p w14:paraId="002DB5D8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监控</w:t>
            </w:r>
          </w:p>
        </w:tc>
        <w:tc>
          <w:tcPr>
            <w:tcW w:w="1918" w:type="dxa"/>
          </w:tcPr>
          <w:p w14:paraId="13009F1D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GET</w:t>
            </w:r>
          </w:p>
        </w:tc>
        <w:tc>
          <w:tcPr>
            <w:tcW w:w="2728" w:type="dxa"/>
          </w:tcPr>
          <w:p w14:paraId="2C3FAA16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/api/v1/dashboard/overview</w:t>
            </w:r>
          </w:p>
        </w:tc>
        <w:tc>
          <w:tcPr>
            <w:tcW w:w="3665" w:type="dxa"/>
          </w:tcPr>
          <w:p w14:paraId="12889BA4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生产进度/设备效率概览</w:t>
            </w:r>
          </w:p>
        </w:tc>
      </w:tr>
      <w:tr w14:paraId="110CE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4" w:type="dxa"/>
          </w:tcPr>
          <w:p w14:paraId="298DAA15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窖池</w:t>
            </w:r>
          </w:p>
        </w:tc>
        <w:tc>
          <w:tcPr>
            <w:tcW w:w="1918" w:type="dxa"/>
          </w:tcPr>
          <w:p w14:paraId="4A02B27E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GET</w:t>
            </w:r>
          </w:p>
        </w:tc>
        <w:tc>
          <w:tcPr>
            <w:tcW w:w="2728" w:type="dxa"/>
          </w:tcPr>
          <w:p w14:paraId="79C7834B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/api/v1/pits</w:t>
            </w:r>
          </w:p>
        </w:tc>
        <w:tc>
          <w:tcPr>
            <w:tcW w:w="3665" w:type="dxa"/>
          </w:tcPr>
          <w:p w14:paraId="6B830E48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100个窖池列表</w:t>
            </w:r>
          </w:p>
        </w:tc>
      </w:tr>
      <w:tr w14:paraId="3334C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4" w:type="dxa"/>
          </w:tcPr>
          <w:p w14:paraId="78BCF943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窖池</w:t>
            </w:r>
          </w:p>
        </w:tc>
        <w:tc>
          <w:tcPr>
            <w:tcW w:w="1918" w:type="dxa"/>
          </w:tcPr>
          <w:p w14:paraId="051797A7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GET</w:t>
            </w:r>
          </w:p>
        </w:tc>
        <w:tc>
          <w:tcPr>
            <w:tcW w:w="2728" w:type="dxa"/>
          </w:tcPr>
          <w:p w14:paraId="21089529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/api/v1/pits/{id}/sensors</w:t>
            </w:r>
          </w:p>
        </w:tc>
        <w:tc>
          <w:tcPr>
            <w:tcW w:w="3665" w:type="dxa"/>
          </w:tcPr>
          <w:p w14:paraId="429115B5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单池传感器历史数据</w:t>
            </w:r>
          </w:p>
        </w:tc>
      </w:tr>
      <w:tr w14:paraId="2B8FE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4" w:type="dxa"/>
          </w:tcPr>
          <w:p w14:paraId="76B4DB57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窖池</w:t>
            </w:r>
          </w:p>
        </w:tc>
        <w:tc>
          <w:tcPr>
            <w:tcW w:w="1918" w:type="dxa"/>
          </w:tcPr>
          <w:p w14:paraId="3CB34270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GET</w:t>
            </w:r>
          </w:p>
        </w:tc>
        <w:tc>
          <w:tcPr>
            <w:tcW w:w="2728" w:type="dxa"/>
          </w:tcPr>
          <w:p w14:paraId="3C9FBD3D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/api/v1/pits/heatmap</w:t>
            </w:r>
          </w:p>
        </w:tc>
        <w:tc>
          <w:tcPr>
            <w:tcW w:w="3665" w:type="dxa"/>
          </w:tcPr>
          <w:p w14:paraId="22F3A9F7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100窖池温度热力图数据</w:t>
            </w:r>
          </w:p>
        </w:tc>
      </w:tr>
      <w:tr w14:paraId="288DA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4" w:type="dxa"/>
          </w:tcPr>
          <w:p w14:paraId="5CFBB8FB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设备</w:t>
            </w:r>
          </w:p>
        </w:tc>
        <w:tc>
          <w:tcPr>
            <w:tcW w:w="1918" w:type="dxa"/>
          </w:tcPr>
          <w:p w14:paraId="2D7C2568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GET</w:t>
            </w:r>
          </w:p>
        </w:tc>
        <w:tc>
          <w:tcPr>
            <w:tcW w:w="2728" w:type="dxa"/>
          </w:tcPr>
          <w:p w14:paraId="34450279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/api/v1/devices</w:t>
            </w:r>
          </w:p>
        </w:tc>
        <w:tc>
          <w:tcPr>
            <w:tcW w:w="3665" w:type="dxa"/>
          </w:tcPr>
          <w:p w14:paraId="5B31C569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53台设备列表</w:t>
            </w:r>
          </w:p>
        </w:tc>
      </w:tr>
      <w:tr w14:paraId="5D419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4" w:type="dxa"/>
          </w:tcPr>
          <w:p w14:paraId="65C19A5A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设备</w:t>
            </w:r>
          </w:p>
        </w:tc>
        <w:tc>
          <w:tcPr>
            <w:tcW w:w="1918" w:type="dxa"/>
          </w:tcPr>
          <w:p w14:paraId="720B62A9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GET</w:t>
            </w:r>
          </w:p>
        </w:tc>
        <w:tc>
          <w:tcPr>
            <w:tcW w:w="2728" w:type="dxa"/>
          </w:tcPr>
          <w:p w14:paraId="0A9DD4EB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/api/v1/devices/{id}/data</w:t>
            </w:r>
          </w:p>
        </w:tc>
        <w:tc>
          <w:tcPr>
            <w:tcW w:w="3665" w:type="dxa"/>
          </w:tcPr>
          <w:p w14:paraId="7FA841F6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设备运行历史</w:t>
            </w:r>
          </w:p>
        </w:tc>
      </w:tr>
      <w:tr w14:paraId="39033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4" w:type="dxa"/>
          </w:tcPr>
          <w:p w14:paraId="47E84DC3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告警</w:t>
            </w:r>
          </w:p>
        </w:tc>
        <w:tc>
          <w:tcPr>
            <w:tcW w:w="1918" w:type="dxa"/>
          </w:tcPr>
          <w:p w14:paraId="00553E17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GET</w:t>
            </w:r>
          </w:p>
        </w:tc>
        <w:tc>
          <w:tcPr>
            <w:tcW w:w="2728" w:type="dxa"/>
          </w:tcPr>
          <w:p w14:paraId="62474120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/api/v1/alarms/active</w:t>
            </w:r>
          </w:p>
        </w:tc>
        <w:tc>
          <w:tcPr>
            <w:tcW w:w="3665" w:type="dxa"/>
          </w:tcPr>
          <w:p w14:paraId="46265552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当前活跃告警</w:t>
            </w:r>
          </w:p>
        </w:tc>
      </w:tr>
      <w:tr w14:paraId="536C0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4" w:type="dxa"/>
          </w:tcPr>
          <w:p w14:paraId="05C4271C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告警</w:t>
            </w:r>
          </w:p>
        </w:tc>
        <w:tc>
          <w:tcPr>
            <w:tcW w:w="1918" w:type="dxa"/>
          </w:tcPr>
          <w:p w14:paraId="71835E29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PUT</w:t>
            </w:r>
          </w:p>
        </w:tc>
        <w:tc>
          <w:tcPr>
            <w:tcW w:w="2728" w:type="dxa"/>
          </w:tcPr>
          <w:p w14:paraId="41979575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/api/v1/alarms/{id}/resolve</w:t>
            </w:r>
          </w:p>
        </w:tc>
        <w:tc>
          <w:tcPr>
            <w:tcW w:w="3665" w:type="dxa"/>
          </w:tcPr>
          <w:p w14:paraId="15320823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处理告警</w:t>
            </w:r>
          </w:p>
        </w:tc>
      </w:tr>
      <w:tr w14:paraId="5CC10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4" w:type="dxa"/>
          </w:tcPr>
          <w:p w14:paraId="69DB3A3F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生产</w:t>
            </w:r>
          </w:p>
        </w:tc>
        <w:tc>
          <w:tcPr>
            <w:tcW w:w="1918" w:type="dxa"/>
          </w:tcPr>
          <w:p w14:paraId="6FD122CE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GET</w:t>
            </w:r>
          </w:p>
        </w:tc>
        <w:tc>
          <w:tcPr>
            <w:tcW w:w="2728" w:type="dxa"/>
          </w:tcPr>
          <w:p w14:paraId="5FFE7811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/api/v1/production/batches</w:t>
            </w:r>
          </w:p>
        </w:tc>
        <w:tc>
          <w:tcPr>
            <w:tcW w:w="3665" w:type="dxa"/>
          </w:tcPr>
          <w:p w14:paraId="6602EEA9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生产批次列表</w:t>
            </w:r>
          </w:p>
        </w:tc>
      </w:tr>
      <w:tr w14:paraId="516D8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4" w:type="dxa"/>
          </w:tcPr>
          <w:p w14:paraId="29A0AF71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生产</w:t>
            </w:r>
          </w:p>
        </w:tc>
        <w:tc>
          <w:tcPr>
            <w:tcW w:w="1918" w:type="dxa"/>
          </w:tcPr>
          <w:p w14:paraId="7D9AD467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POST</w:t>
            </w:r>
          </w:p>
        </w:tc>
        <w:tc>
          <w:tcPr>
            <w:tcW w:w="2728" w:type="dxa"/>
          </w:tcPr>
          <w:p w14:paraId="754A33E3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/api/v1/production/batches</w:t>
            </w:r>
          </w:p>
        </w:tc>
        <w:tc>
          <w:tcPr>
            <w:tcW w:w="3665" w:type="dxa"/>
          </w:tcPr>
          <w:p w14:paraId="28679F9D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新建生产批次</w:t>
            </w:r>
          </w:p>
        </w:tc>
      </w:tr>
      <w:tr w14:paraId="490B8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4" w:type="dxa"/>
          </w:tcPr>
          <w:p w14:paraId="7E1886B8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WS</w:t>
            </w:r>
          </w:p>
        </w:tc>
        <w:tc>
          <w:tcPr>
            <w:tcW w:w="1918" w:type="dxa"/>
          </w:tcPr>
          <w:p w14:paraId="2A68A99E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WS</w:t>
            </w:r>
          </w:p>
        </w:tc>
        <w:tc>
          <w:tcPr>
            <w:tcW w:w="2728" w:type="dxa"/>
          </w:tcPr>
          <w:p w14:paraId="787D9A16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ws://localhost:8000/ws/realtime</w:t>
            </w:r>
          </w:p>
        </w:tc>
        <w:tc>
          <w:tcPr>
            <w:tcW w:w="3665" w:type="dxa"/>
          </w:tcPr>
          <w:p w14:paraId="48C77157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sim_snapshot 每500ms广播一帧</w:t>
            </w:r>
          </w:p>
        </w:tc>
      </w:tr>
    </w:tbl>
    <w:p w14:paraId="39D1737C">
      <w:pPr>
        <w:rPr>
          <w:rFonts w:hint="default" w:ascii="Times New Roman" w:hAnsi="Times New Roman" w:eastAsia="宋体" w:cs="Times New Roman"/>
          <w:color w:val="auto"/>
        </w:rPr>
      </w:pPr>
    </w:p>
    <w:p w14:paraId="224C05F2">
      <w:pPr>
        <w:pStyle w:val="4"/>
        <w:jc w:val="left"/>
        <w:outlineLvl w:val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WebSocket sim_snapshot 数据格式</w:t>
      </w:r>
      <w:bookmarkStart w:id="0" w:name="_GoBack"/>
      <w:bookmarkEnd w:id="0"/>
    </w:p>
    <w:p w14:paraId="635DFB0F">
      <w:pPr>
        <w:spacing w:after="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</w:rPr>
        <w:t>WebSocket sim_snapshot 帧结构（每500ms推送）</w:t>
      </w:r>
    </w:p>
    <w:p w14:paraId="0692FA7F">
      <w:pPr>
        <w:spacing w:before="40" w:after="80"/>
        <w:jc w:val="center"/>
      </w:pPr>
      <w:r>
        <w:drawing>
          <wp:inline distT="0" distB="0" distL="114300" distR="114300">
            <wp:extent cx="5120640" cy="1791335"/>
            <wp:effectExtent l="0" t="0" r="10160" b="1206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9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247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_GBK;微软雅黑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2D07"/>
    <w:rsid w:val="0015074B"/>
    <w:rsid w:val="0029639D"/>
    <w:rsid w:val="00326F90"/>
    <w:rsid w:val="00AA1D8D"/>
    <w:rsid w:val="00B47730"/>
    <w:rsid w:val="00CB0664"/>
    <w:rsid w:val="00FC693F"/>
    <w:rsid w:val="118F5CE6"/>
    <w:rsid w:val="14792860"/>
    <w:rsid w:val="1F022EA3"/>
    <w:rsid w:val="36D9753E"/>
    <w:rsid w:val="4A541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qFormat/>
    <w:uiPriority w:val="0"/>
    <w:rPr>
      <w:color w:val="0000FF"/>
      <w:u w:val="single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2652</Words>
  <Characters>6852</Characters>
  <Lines>0</Lines>
  <Paragraphs>0</Paragraphs>
  <TotalTime>15</TotalTime>
  <ScaleCrop>false</ScaleCrop>
  <LinksUpToDate>false</LinksUpToDate>
  <CharactersWithSpaces>7863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2250702090</cp:lastModifiedBy>
  <dcterms:modified xsi:type="dcterms:W3CDTF">2026-05-24T14:16:20Z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eyJoZGlkIjoiOTEyZjcwODU1YTUzMjdlNzhjZDg2N2YxM2NmZGYzOTEiLCJ1c2VySWQiOiIxNzQyNzU4MDA4In0=</vt:lpwstr>
  </property>
  <property fmtid="{D5CDD505-2E9C-101B-9397-08002B2CF9AE}" pid="3" name="KSOProductBuildVer">
    <vt:lpwstr>2052-12.1.0.26375</vt:lpwstr>
  </property>
  <property fmtid="{D5CDD505-2E9C-101B-9397-08002B2CF9AE}" pid="4" name="ICV">
    <vt:lpwstr>3775BE272F59441A9BCBF36D88684482_12</vt:lpwstr>
  </property>
</Properties>
</file>