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Regulatory Intelligence Platform — Complete Technical Documentation</w:t>
      </w:r>
    </w:p>
    <w:p>
      <w:pPr>
        <w:spacing w:before="40" w:after="40"/>
        <w:ind w:left="576"/>
      </w:pPr>
      <w:r>
        <w:rPr>
          <w:b/>
          <w:i/>
          <w:color w:val="555555"/>
        </w:rPr>
        <w:t>Version:</w:t>
      </w:r>
      <w:r>
        <w:rPr>
          <w:i/>
          <w:color w:val="555555"/>
        </w:rPr>
        <w:t xml:space="preserve"> 0.1.0 (MVP)</w:t>
      </w:r>
    </w:p>
    <w:p>
      <w:pPr>
        <w:spacing w:before="40" w:after="40"/>
        <w:ind w:left="576"/>
      </w:pPr>
      <w:r>
        <w:rPr>
          <w:b/>
          <w:i/>
          <w:color w:val="555555"/>
        </w:rPr>
        <w:t>Stack:</w:t>
      </w:r>
      <w:r>
        <w:rPr>
          <w:i/>
          <w:color w:val="555555"/>
        </w:rPr>
        <w:t xml:space="preserve"> Python 3.12 · FastAPI · LangGraph · Qdrant · PostgreSQL · OpenAI</w:t>
      </w:r>
    </w:p>
    <w:p>
      <w:pPr>
        <w:spacing w:before="40" w:after="40"/>
        <w:ind w:left="576"/>
      </w:pPr>
      <w:r>
        <w:rPr>
          <w:b/>
          <w:i/>
          <w:color w:val="555555"/>
        </w:rPr>
        <w:t>Last Updated:</w:t>
      </w:r>
      <w:r>
        <w:rPr>
          <w:i/>
          <w:color w:val="555555"/>
        </w:rPr>
        <w:t xml:space="preserve"> May 2026</w:t>
      </w:r>
    </w:p>
    <w:p>
      <w:pPr>
        <w:pBdr>
          <w:bottom w:val="single" w:sz="4" w:space="1" w:color="CCCCCC"/>
        </w:pBdr>
      </w:pPr>
    </w:p>
    <w:p>
      <w:pPr>
        <w:pStyle w:val="Heading2"/>
      </w:pPr>
      <w:r>
        <w:t>Table of Contents</w:t>
      </w:r>
    </w:p>
    <w:p>
      <w:pPr>
        <w:pStyle w:val="ListNumber"/>
      </w:pPr>
      <w:r>
        <w:t>[Executive Summary](#1-executive-summary)</w:t>
      </w:r>
    </w:p>
    <w:p>
      <w:pPr>
        <w:pStyle w:val="ListNumber"/>
      </w:pPr>
      <w:r>
        <w:t>[Problem Statement](#2-problem-statement)</w:t>
      </w:r>
    </w:p>
    <w:p>
      <w:pPr>
        <w:pStyle w:val="ListNumber"/>
      </w:pPr>
      <w:r>
        <w:t>[Product Overview](#3-product-overview)</w:t>
      </w:r>
    </w:p>
    <w:p>
      <w:pPr>
        <w:pStyle w:val="ListNumber"/>
      </w:pPr>
      <w:r>
        <w:t>[High-Level System Architecture](#4-high-level-system-architecture)</w:t>
      </w:r>
    </w:p>
    <w:p>
      <w:pPr>
        <w:pStyle w:val="ListNumber"/>
      </w:pPr>
      <w:r>
        <w:t>[Detailed Backend Documentation](#5-detailed-backend-documentation)</w:t>
      </w:r>
    </w:p>
    <w:p>
      <w:pPr>
        <w:pStyle w:val="ListNumber"/>
      </w:pPr>
      <w:r>
        <w:t>[Frontend Documentation](#6-frontend-documentation)</w:t>
      </w:r>
    </w:p>
    <w:p>
      <w:pPr>
        <w:pStyle w:val="ListNumber"/>
      </w:pPr>
      <w:r>
        <w:t>[Database Documentation](#7-database-documentation)</w:t>
      </w:r>
    </w:p>
    <w:p>
      <w:pPr>
        <w:pStyle w:val="ListNumber"/>
      </w:pPr>
      <w:r>
        <w:t>[AI / LLM / RAG Documentation](#8-ai--llm--rag-documentation)</w:t>
      </w:r>
    </w:p>
    <w:p>
      <w:pPr>
        <w:pStyle w:val="ListNumber"/>
      </w:pPr>
      <w:r>
        <w:t>[API Documentation](#9-api-documentation)</w:t>
      </w:r>
    </w:p>
    <w:p>
      <w:pPr>
        <w:pStyle w:val="ListNumber"/>
      </w:pPr>
      <w:r>
        <w:t>[DevOps &amp; Infrastructure](#10-devops--infrastructure)</w:t>
      </w:r>
    </w:p>
    <w:p>
      <w:pPr>
        <w:pStyle w:val="ListNumber"/>
      </w:pPr>
      <w:r>
        <w:t>[Security Analysis](#11-security-analysis)</w:t>
      </w:r>
    </w:p>
    <w:p>
      <w:pPr>
        <w:pStyle w:val="ListNumber"/>
      </w:pPr>
      <w:r>
        <w:t>[Observability &amp; Monitoring](#12-observability--monitoring)</w:t>
      </w:r>
    </w:p>
    <w:p>
      <w:pPr>
        <w:pStyle w:val="ListNumber"/>
      </w:pPr>
      <w:r>
        <w:t>[End-to-End Request Walkthrough](#13-end-to-end-request-walkthrough)</w:t>
      </w:r>
    </w:p>
    <w:p>
      <w:pPr>
        <w:pStyle w:val="ListNumber"/>
      </w:pPr>
      <w:r>
        <w:t>[Engineering Decisions](#14-engineering-decisions)</w:t>
      </w:r>
    </w:p>
    <w:p>
      <w:pPr>
        <w:pStyle w:val="ListNumber"/>
      </w:pPr>
      <w:r>
        <w:t>[Technical Debt &amp; Risks](#15-technical-debt--risks)</w:t>
      </w:r>
    </w:p>
    <w:p>
      <w:pPr>
        <w:pStyle w:val="ListNumber"/>
      </w:pPr>
      <w:r>
        <w:t>[Future Roadmap](#16-future-roadmap)</w:t>
      </w:r>
    </w:p>
    <w:p>
      <w:pPr>
        <w:pStyle w:val="ListNumber"/>
      </w:pPr>
      <w:r>
        <w:t>[Local Development Setup](#17-local-development-setup)</w:t>
      </w:r>
    </w:p>
    <w:p>
      <w:pPr>
        <w:pStyle w:val="ListNumber"/>
      </w:pPr>
      <w:r>
        <w:t>[Glossary](#18-glossary)</w:t>
      </w:r>
    </w:p>
    <w:p>
      <w:pPr>
        <w:pBdr>
          <w:bottom w:val="single" w:sz="4" w:space="1" w:color="CCCCCC"/>
        </w:pBdr>
      </w:pPr>
    </w:p>
    <w:p>
      <w:pPr>
        <w:pStyle w:val="Heading2"/>
      </w:pPr>
      <w:r>
        <w:t>1. Executive Summary</w:t>
      </w:r>
    </w:p>
    <w:p>
      <w:pPr>
        <w:pStyle w:val="Heading3"/>
      </w:pPr>
      <w:r>
        <w:t>Project Overview</w:t>
      </w:r>
    </w:p>
    <w:p>
      <w:pPr>
        <w:spacing w:after="120"/>
      </w:pPr>
      <w:r>
        <w:t xml:space="preserve">The </w:t>
      </w:r>
      <w:r>
        <w:rPr>
          <w:b/>
        </w:rPr>
        <w:t>Regulatory Intelligence Platform</w:t>
      </w:r>
      <w:r>
        <w:t xml:space="preserve"> is an agentic AI system designed to help businesses, fintechs, compliance teams, and legal professionals understand and navigate Nigerian financial regulations. It accepts natural-language questions about compliance, licensing, and regulatory obligations and returns structured, citation-backed compliance intelligence reports — not chatbot responses.</w:t>
      </w:r>
    </w:p>
    <w:p>
      <w:pPr>
        <w:pStyle w:val="Heading3"/>
      </w:pPr>
      <w:r>
        <w:t>Core Mission</w:t>
      </w:r>
    </w:p>
    <w:p>
      <w:pPr>
        <w:spacing w:after="120"/>
      </w:pPr>
      <w:r>
        <w:t>To eliminate the ambiguity, cost, and time burden of manual regulatory research in Nigeria by providing instant, auditable, and citation-grounded compliance analysis for any business activity.</w:t>
      </w:r>
    </w:p>
    <w:p>
      <w:pPr>
        <w:pStyle w:val="Heading3"/>
      </w:pPr>
      <w:r>
        <w:t>Primary Users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User Type</w:t>
            </w:r>
          </w:p>
        </w:tc>
        <w:tc>
          <w:tcPr>
            <w:tcW w:type="dxa" w:w="4703"/>
            <w:shd w:fill="1E569A" w:val="clear"/>
          </w:tcPr>
          <w:p>
            <w:r>
              <w:rPr>
                <w:b/>
                <w:color w:val="FFFFFF"/>
                <w:sz w:val="19"/>
              </w:rPr>
              <w:t>Use Case</w:t>
            </w:r>
          </w:p>
        </w:tc>
      </w:tr>
      <w:tr>
        <w:tc>
          <w:tcPr>
            <w:tcW w:type="dxa" w:w="4703"/>
          </w:tcPr>
          <w:p>
            <w:r>
              <w:rPr>
                <w:b/>
                <w:sz w:val="19"/>
              </w:rPr>
              <w:t>Fintech founders</w:t>
            </w:r>
          </w:p>
        </w:tc>
        <w:tc>
          <w:tcPr>
            <w:tcW w:type="dxa" w:w="4703"/>
          </w:tcPr>
          <w:p>
            <w:r>
              <w:rPr>
                <w:sz w:val="19"/>
              </w:rPr>
              <w:t>Determine licensing requirements before launch</w:t>
            </w:r>
          </w:p>
        </w:tc>
      </w:tr>
      <w:tr>
        <w:tc>
          <w:tcPr>
            <w:tcW w:type="dxa" w:w="4703"/>
            <w:shd w:fill="EEF4FB" w:val="clear"/>
          </w:tcPr>
          <w:p>
            <w:r>
              <w:rPr>
                <w:b/>
                <w:sz w:val="19"/>
              </w:rPr>
              <w:t>Compliance officers</w:t>
            </w:r>
          </w:p>
        </w:tc>
        <w:tc>
          <w:tcPr>
            <w:tcW w:type="dxa" w:w="4703"/>
            <w:shd w:fill="EEF4FB" w:val="clear"/>
          </w:tcPr>
          <w:p>
            <w:r>
              <w:rPr>
                <w:sz w:val="19"/>
              </w:rPr>
              <w:t>Check whether internal policies meet CBN/SEC obligations</w:t>
            </w:r>
          </w:p>
        </w:tc>
      </w:tr>
      <w:tr>
        <w:tc>
          <w:tcPr>
            <w:tcW w:type="dxa" w:w="4703"/>
          </w:tcPr>
          <w:p>
            <w:r>
              <w:rPr>
                <w:b/>
                <w:sz w:val="19"/>
              </w:rPr>
              <w:t>Legal teams</w:t>
            </w:r>
          </w:p>
        </w:tc>
        <w:tc>
          <w:tcPr>
            <w:tcW w:type="dxa" w:w="4703"/>
          </w:tcPr>
          <w:p>
            <w:r>
              <w:rPr>
                <w:sz w:val="19"/>
              </w:rPr>
              <w:t>Quickly retrieve applicable regulations with citations</w:t>
            </w:r>
          </w:p>
        </w:tc>
      </w:tr>
      <w:tr>
        <w:tc>
          <w:tcPr>
            <w:tcW w:type="dxa" w:w="4703"/>
            <w:shd w:fill="EEF4FB" w:val="clear"/>
          </w:tcPr>
          <w:p>
            <w:r>
              <w:rPr>
                <w:b/>
                <w:sz w:val="19"/>
              </w:rPr>
              <w:t>Product managers</w:t>
            </w:r>
          </w:p>
        </w:tc>
        <w:tc>
          <w:tcPr>
            <w:tcW w:type="dxa" w:w="4703"/>
            <w:shd w:fill="EEF4FB" w:val="clear"/>
          </w:tcPr>
          <w:p>
            <w:r>
              <w:rPr>
                <w:sz w:val="19"/>
              </w:rPr>
              <w:t>Understand what regulatory constraints apply to a new feature</w:t>
            </w:r>
          </w:p>
        </w:tc>
      </w:tr>
      <w:tr>
        <w:tc>
          <w:tcPr>
            <w:tcW w:type="dxa" w:w="4703"/>
          </w:tcPr>
          <w:p>
            <w:r>
              <w:rPr>
                <w:b/>
                <w:sz w:val="19"/>
              </w:rPr>
              <w:t>Executives / boards</w:t>
            </w:r>
          </w:p>
        </w:tc>
        <w:tc>
          <w:tcPr>
            <w:tcW w:type="dxa" w:w="4703"/>
          </w:tcPr>
          <w:p>
            <w:r>
              <w:rPr>
                <w:sz w:val="19"/>
              </w:rPr>
              <w:t>Receive risk-level reports on business activities</w:t>
            </w:r>
          </w:p>
        </w:tc>
      </w:tr>
      <w:tr>
        <w:tc>
          <w:tcPr>
            <w:tcW w:type="dxa" w:w="4703"/>
            <w:shd w:fill="EEF4FB" w:val="clear"/>
          </w:tcPr>
          <w:p>
            <w:r>
              <w:rPr>
                <w:b/>
                <w:sz w:val="19"/>
              </w:rPr>
              <w:t>Regulatory affairs teams</w:t>
            </w:r>
          </w:p>
        </w:tc>
        <w:tc>
          <w:tcPr>
            <w:tcW w:type="dxa" w:w="4703"/>
            <w:shd w:fill="EEF4FB" w:val="clear"/>
          </w:tcPr>
          <w:p>
            <w:r>
              <w:rPr>
                <w:sz w:val="19"/>
              </w:rPr>
              <w:t>Gap analysis between current operations and regulations</w:t>
            </w:r>
          </w:p>
        </w:tc>
      </w:tr>
    </w:tbl>
    <w:p/>
    <w:p>
      <w:pPr>
        <w:pStyle w:val="Heading3"/>
      </w:pPr>
      <w:r>
        <w:t>Key Value Proposition</w:t>
      </w:r>
    </w:p>
    <w:p>
      <w:pPr>
        <w:pStyle w:val="ListBullet"/>
      </w:pPr>
      <w:r>
        <w:rPr>
          <w:b/>
        </w:rPr>
        <w:t>Speed</w:t>
      </w:r>
      <w:r>
        <w:t>: What previously took a compliance lawyer hours to research returns in ~90–120 seconds</w:t>
      </w:r>
    </w:p>
    <w:p>
      <w:pPr>
        <w:pStyle w:val="ListBullet"/>
      </w:pPr>
      <w:r>
        <w:rPr>
          <w:b/>
        </w:rPr>
        <w:t>Grounding</w:t>
      </w:r>
      <w:r>
        <w:t>: Every claim cites a specific regulatory document, section, and page — no hallucinated rules</w:t>
      </w:r>
    </w:p>
    <w:p>
      <w:pPr>
        <w:pStyle w:val="ListBullet"/>
      </w:pPr>
      <w:r>
        <w:rPr>
          <w:b/>
        </w:rPr>
        <w:t>Auditability</w:t>
      </w:r>
      <w:r>
        <w:t>: Every analysis is persisted with a complete agent decision trace for audit review</w:t>
      </w:r>
    </w:p>
    <w:p>
      <w:pPr>
        <w:pStyle w:val="ListBullet"/>
      </w:pPr>
      <w:r>
        <w:rPr>
          <w:b/>
        </w:rPr>
        <w:t>Structure</w:t>
      </w:r>
      <w:r>
        <w:t>: Outputs are compliance checklists, risk matrices, and gap reports — not paragraphs</w:t>
      </w:r>
    </w:p>
    <w:p>
      <w:pPr>
        <w:pStyle w:val="Heading3"/>
      </w:pPr>
      <w:r>
        <w:t>Business Problem Being Solved</w:t>
      </w:r>
    </w:p>
    <w:p>
      <w:pPr>
        <w:spacing w:after="120"/>
      </w:pPr>
      <w:r>
        <w:t>Nigeria's financial regulatory landscape spans at least four major regulators (CBN, SEC, NDIC, FIRS) with thousands of pages of guidelines, circulars, and acts that are frequently updated. Businesses routinely:</w:t>
      </w:r>
    </w:p>
    <w:p>
      <w:pPr>
        <w:pStyle w:val="ListBullet"/>
      </w:pPr>
      <w:r>
        <w:t>Launch products without understanding licensing requirements</w:t>
      </w:r>
    </w:p>
    <w:p>
      <w:pPr>
        <w:pStyle w:val="ListBullet"/>
      </w:pPr>
      <w:r>
        <w:t>Miss compliance obligations across overlapping regulatory jurisdictions</w:t>
      </w:r>
    </w:p>
    <w:p>
      <w:pPr>
        <w:pStyle w:val="ListBullet"/>
      </w:pPr>
      <w:r>
        <w:t>Pay expensive legal fees for basic regulatory research</w:t>
      </w:r>
    </w:p>
    <w:p>
      <w:pPr>
        <w:pStyle w:val="ListBullet"/>
      </w:pPr>
      <w:r>
        <w:t>Expose themselves to regulatory sanctions due to information asymmetry</w:t>
      </w:r>
    </w:p>
    <w:p>
      <w:pPr>
        <w:spacing w:after="120"/>
      </w:pPr>
      <w:r>
        <w:t>This platform transforms regulatory documents into a queryable intelligence layer.</w:t>
      </w:r>
    </w:p>
    <w:p>
      <w:pPr>
        <w:pBdr>
          <w:bottom w:val="single" w:sz="4" w:space="1" w:color="CCCCCC"/>
        </w:pBdr>
      </w:pPr>
    </w:p>
    <w:p>
      <w:pPr>
        <w:pStyle w:val="Heading2"/>
      </w:pPr>
      <w:r>
        <w:t>2. Problem Statement</w:t>
      </w:r>
    </w:p>
    <w:p>
      <w:pPr>
        <w:pStyle w:val="Heading3"/>
      </w:pPr>
      <w:r>
        <w:t>The Exact Problem</w:t>
      </w:r>
    </w:p>
    <w:p>
      <w:pPr>
        <w:spacing w:after="120"/>
      </w:pPr>
      <w:r>
        <w:t>Nigerian financial regulation is fragmented, voluminous, and constantly evolving. There is no unified source of truth. CBN, SEC Nigeria, NDIC, and FIRS all issue regulations independently, and many business activities fall under multiple overlapping jurisdictions simultaneously.</w:t>
      </w:r>
    </w:p>
    <w:p>
      <w:pPr>
        <w:pStyle w:val="Heading3"/>
      </w:pPr>
      <w:r>
        <w:t>Current Pain Points</w:t>
      </w:r>
    </w:p>
    <w:p>
      <w:pPr>
        <w:pStyle w:val="ListNumber"/>
      </w:pPr>
      <w:r>
        <w:rPr>
          <w:b/>
        </w:rPr>
        <w:t>Information fragmentation</w:t>
      </w:r>
      <w:r>
        <w:t>: Regulations are scattered across regulator websites in PDF format with no semantic search capability.</w:t>
      </w:r>
    </w:p>
    <w:p>
      <w:pPr>
        <w:pStyle w:val="ListNumber"/>
      </w:pPr>
      <w:r>
        <w:rPr>
          <w:b/>
        </w:rPr>
        <w:t>Jurisdictional ambiguity</w:t>
      </w:r>
      <w:r>
        <w:t>: A payment wallet product may be subject to CBN guidelines, NDIC deposit protection rules, and FIRS tax obligations — simultaneously.</w:t>
      </w:r>
    </w:p>
    <w:p>
      <w:pPr>
        <w:pStyle w:val="ListNumber"/>
      </w:pPr>
      <w:r>
        <w:rPr>
          <w:b/>
        </w:rPr>
        <w:t>Legal research cost</w:t>
      </w:r>
      <w:r>
        <w:t>: Engaging a regulatory lawyer for basic compliance questions costs ₦500K–₦2M+ per engagement.</w:t>
      </w:r>
    </w:p>
    <w:p>
      <w:pPr>
        <w:pStyle w:val="ListNumber"/>
      </w:pPr>
      <w:r>
        <w:rPr>
          <w:b/>
        </w:rPr>
        <w:t>Hallucination risk in generic AI</w:t>
      </w:r>
      <w:r>
        <w:t>: Using general-purpose LLMs like ChatGPT to answer compliance questions is dangerous — they confidently fabricate non-existent regulations.</w:t>
      </w:r>
    </w:p>
    <w:p>
      <w:pPr>
        <w:pStyle w:val="ListNumber"/>
      </w:pPr>
      <w:r>
        <w:rPr>
          <w:b/>
        </w:rPr>
        <w:t>Audit trail absence</w:t>
      </w:r>
      <w:r>
        <w:t>: Manual legal research produces no structured, reproducible audit record.</w:t>
      </w:r>
    </w:p>
    <w:p>
      <w:pPr>
        <w:pStyle w:val="Heading3"/>
      </w:pPr>
      <w:r>
        <w:t>Why Existing Solutions Are Insufficient</w:t>
      </w:r>
    </w:p>
    <w:p>
      <w:pPr>
        <w:spacing w:after="120"/>
      </w:pPr>
      <w:r>
        <w:t>Generic LLMs lack grounding in specific regulatory documents and hallucinate legal citations. Legal databases (where available) are search-only with no reasoning or synthesis capability. Human compliance consultants are expensive, slow, and not available on-demand.</w:t>
      </w:r>
    </w:p>
    <w:p>
      <w:pPr>
        <w:pStyle w:val="Heading3"/>
      </w:pPr>
      <w:r>
        <w:t>Consequences of Not Solving This</w:t>
      </w:r>
    </w:p>
    <w:p>
      <w:pPr>
        <w:pStyle w:val="ListBullet"/>
      </w:pPr>
      <w:r>
        <w:t>Regulatory sanctions from CBN/SEC for unlicensed operations</w:t>
      </w:r>
    </w:p>
    <w:p>
      <w:pPr>
        <w:pStyle w:val="ListBullet"/>
      </w:pPr>
      <w:r>
        <w:t>Criminal liability under BOFIA or CAMA for executives</w:t>
      </w:r>
    </w:p>
    <w:p>
      <w:pPr>
        <w:pStyle w:val="ListBullet"/>
      </w:pPr>
      <w:r>
        <w:t>Loss of operating license</w:t>
      </w:r>
    </w:p>
    <w:p>
      <w:pPr>
        <w:pStyle w:val="ListBullet"/>
      </w:pPr>
      <w:r>
        <w:t>Reputational damage</w:t>
      </w:r>
    </w:p>
    <w:p>
      <w:pPr>
        <w:pStyle w:val="ListBullet"/>
      </w:pPr>
      <w:r>
        <w:t>Investor risk in regulated fintech ventures</w:t>
      </w:r>
    </w:p>
    <w:p>
      <w:pPr>
        <w:pBdr>
          <w:bottom w:val="single" w:sz="4" w:space="1" w:color="CCCCCC"/>
        </w:pBdr>
      </w:pPr>
    </w:p>
    <w:p>
      <w:pPr>
        <w:pStyle w:val="Heading2"/>
      </w:pPr>
      <w:r>
        <w:t>3. Product Overview</w:t>
      </w:r>
    </w:p>
    <w:p>
      <w:pPr>
        <w:pStyle w:val="Heading3"/>
      </w:pPr>
      <w:r>
        <w:t>Main Capabilities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Capability</w:t>
            </w:r>
          </w:p>
        </w:tc>
        <w:tc>
          <w:tcPr>
            <w:tcW w:type="dxa" w:w="4703"/>
            <w:shd w:fill="1E569A" w:val="clear"/>
          </w:tcPr>
          <w:p>
            <w:r>
              <w:rPr>
                <w:b/>
                <w:color w:val="FFFFFF"/>
                <w:sz w:val="19"/>
              </w:rPr>
              <w:t>Description</w:t>
            </w:r>
          </w:p>
        </w:tc>
      </w:tr>
      <w:tr>
        <w:tc>
          <w:tcPr>
            <w:tcW w:type="dxa" w:w="4703"/>
          </w:tcPr>
          <w:p>
            <w:r>
              <w:rPr>
                <w:b/>
                <w:sz w:val="19"/>
              </w:rPr>
              <w:t>Regulatory Document Ingestion</w:t>
            </w:r>
          </w:p>
        </w:tc>
        <w:tc>
          <w:tcPr>
            <w:tcW w:type="dxa" w:w="4703"/>
          </w:tcPr>
          <w:p>
            <w:r>
              <w:rPr>
                <w:sz w:val="19"/>
              </w:rPr>
              <w:t>Upload PDFs from CBN, SEC, NDIC, FIRS. System parses, chunks, embeds, and indexes them.</w:t>
            </w:r>
          </w:p>
        </w:tc>
      </w:tr>
      <w:tr>
        <w:tc>
          <w:tcPr>
            <w:tcW w:type="dxa" w:w="4703"/>
            <w:shd w:fill="EEF4FB" w:val="clear"/>
          </w:tcPr>
          <w:p>
            <w:r>
              <w:rPr>
                <w:b/>
                <w:sz w:val="19"/>
              </w:rPr>
              <w:t>Business Compliance Analysis</w:t>
            </w:r>
          </w:p>
        </w:tc>
        <w:tc>
          <w:tcPr>
            <w:tcW w:type="dxa" w:w="4703"/>
            <w:shd w:fill="EEF4FB" w:val="clear"/>
          </w:tcPr>
          <w:p>
            <w:r>
              <w:rPr>
                <w:sz w:val="19"/>
              </w:rPr>
              <w:t>Submit a business query; receive a structured compliance report with risk score, obligations, gaps, and citations.</w:t>
            </w:r>
          </w:p>
        </w:tc>
      </w:tr>
      <w:tr>
        <w:tc>
          <w:tcPr>
            <w:tcW w:type="dxa" w:w="4703"/>
          </w:tcPr>
          <w:p>
            <w:r>
              <w:rPr>
                <w:b/>
                <w:sz w:val="19"/>
              </w:rPr>
              <w:t>Audit Trace Retrieval</w:t>
            </w:r>
          </w:p>
        </w:tc>
        <w:tc>
          <w:tcPr>
            <w:tcW w:type="dxa" w:w="4703"/>
          </w:tcPr>
          <w:p>
            <w:r>
              <w:rPr>
                <w:sz w:val="19"/>
              </w:rPr>
              <w:t>Every analysis is stored. Retrieve the full agent decision trace at any time for audit or review.</w:t>
            </w:r>
          </w:p>
        </w:tc>
      </w:tr>
      <w:tr>
        <w:tc>
          <w:tcPr>
            <w:tcW w:type="dxa" w:w="4703"/>
            <w:shd w:fill="EEF4FB" w:val="clear"/>
          </w:tcPr>
          <w:p>
            <w:r>
              <w:rPr>
                <w:b/>
                <w:sz w:val="19"/>
              </w:rPr>
              <w:t>Session Chaining</w:t>
            </w:r>
          </w:p>
        </w:tc>
        <w:tc>
          <w:tcPr>
            <w:tcW w:type="dxa" w:w="4703"/>
            <w:shd w:fill="EEF4FB" w:val="clear"/>
          </w:tcPr>
          <w:p>
            <w:r>
              <w:rPr>
                <w:sz w:val="19"/>
              </w:rPr>
              <w:t xml:space="preserve">Multiple analyses under the same </w:t>
            </w:r>
            <w:r>
              <w:rPr>
                <w:rFonts w:ascii="Courier New" w:hAnsi="Courier New"/>
                <w:color w:val="C7254E"/>
                <w:sz w:val="19"/>
              </w:rPr>
              <w:t>session_id</w:t>
            </w:r>
            <w:r>
              <w:rPr>
                <w:sz w:val="19"/>
              </w:rPr>
              <w:t xml:space="preserve"> for tracking a compliance investigation over time.</w:t>
            </w:r>
          </w:p>
        </w:tc>
      </w:tr>
    </w:tbl>
    <w:p/>
    <w:p>
      <w:pPr>
        <w:pStyle w:val="Heading3"/>
      </w:pPr>
      <w:r>
        <w:t>Core Workflow</w:t>
      </w:r>
    </w:p>
    <w:p>
      <w:pPr>
        <w:spacing w:before="80" w:after="80"/>
        <w:ind w:left="432"/>
        <w:shd w:fill="F0F4F8" w:val="clear"/>
      </w:pPr>
      <w:r>
        <w:rPr>
          <w:rFonts w:ascii="Courier New" w:hAnsi="Courier New"/>
          <w:color w:val="1F1F1F"/>
          <w:sz w:val="17"/>
        </w:rPr>
        <w:t>1. Compliance team submits query: "Can we offer a wallet with investment features?"</w:t>
        <w:br/>
        <w:t>2. Platform identifies applicable regulators: CBN (wallet), SEC (investment)</w:t>
        <w:br/>
        <w:t>3. Platform retrieves relevant regulation chunks from its knowledge base</w:t>
        <w:br/>
        <w:t>4. Legal reasoning agent synthesises obligations, prohibitions, permissions</w:t>
        <w:br/>
        <w:t>5. Compliance auditor scores risk and identifies gaps</w:t>
        <w:br/>
        <w:t>6. Citation verifier ensures every claim is grounded in retrieved text</w:t>
        <w:br/>
        <w:t>7. Critic agent reviews output quality; may loop for refinement</w:t>
        <w:br/>
        <w:t>8. Structured compliance report returned with audit ID</w:t>
      </w:r>
    </w:p>
    <w:p>
      <w:pPr>
        <w:pStyle w:val="Heading3"/>
      </w:pPr>
      <w:r>
        <w:t>User Personas</w:t>
      </w:r>
    </w:p>
    <w:p>
      <w:pPr>
        <w:spacing w:after="120"/>
      </w:pPr>
      <w:r>
        <w:rPr>
          <w:b/>
        </w:rPr>
        <w:t>Persona 1: Sarah — Head of Compliance, Digital Bank</w:t>
      </w:r>
    </w:p>
    <w:p>
      <w:pPr>
        <w:spacing w:before="40" w:after="40"/>
        <w:ind w:left="576"/>
      </w:pPr>
      <w:r>
        <w:rPr>
          <w:i/>
          <w:color w:val="555555"/>
        </w:rPr>
        <w:t>"I need to confirm our new overdraft product complies with CBN consumer protection rules before launch. I need a documented compliance review I can show our board."</w:t>
      </w:r>
    </w:p>
    <w:p>
      <w:pPr>
        <w:spacing w:after="120"/>
      </w:pPr>
      <w:r>
        <w:rPr>
          <w:b/>
        </w:rPr>
        <w:t>Persona 2: Tunde — Fintech Founder</w:t>
      </w:r>
    </w:p>
    <w:p>
      <w:pPr>
        <w:spacing w:before="40" w:after="40"/>
        <w:ind w:left="576"/>
      </w:pPr>
      <w:r>
        <w:rPr>
          <w:i/>
          <w:color w:val="555555"/>
        </w:rPr>
        <w:t>"We're building a P2P lending app. What licenses do we need? Are we subject to FIRS? What are our consumer disclosure obligations?"</w:t>
      </w:r>
    </w:p>
    <w:p>
      <w:pPr>
        <w:spacing w:after="120"/>
      </w:pPr>
      <w:r>
        <w:rPr>
          <w:b/>
        </w:rPr>
        <w:t>Persona 3: Adeola — Legal Counsel</w:t>
      </w:r>
    </w:p>
    <w:p>
      <w:pPr>
        <w:spacing w:before="40" w:after="40"/>
        <w:ind w:left="576"/>
      </w:pPr>
      <w:r>
        <w:rPr>
          <w:i/>
          <w:color w:val="555555"/>
        </w:rPr>
        <w:t>"A client is being investigated by CBN. I need to quickly understand their consumer complaint resolution obligations and whether they've breached any timelines."</w:t>
      </w:r>
    </w:p>
    <w:p>
      <w:pPr>
        <w:pStyle w:val="Heading3"/>
      </w:pPr>
      <w:r>
        <w:t>Real-World Use Cases</w:t>
      </w:r>
    </w:p>
    <w:p>
      <w:pPr>
        <w:pStyle w:val="ListBullet"/>
      </w:pPr>
      <w:r>
        <w:rPr>
          <w:b/>
        </w:rPr>
        <w:t>Pre-launch licensing check</w:t>
      </w:r>
      <w:r>
        <w:t>: "What CBN licences does a mobile money operator require?"</w:t>
      </w:r>
    </w:p>
    <w:p>
      <w:pPr>
        <w:pStyle w:val="ListBullet"/>
      </w:pPr>
      <w:r>
        <w:rPr>
          <w:b/>
        </w:rPr>
        <w:t>Consumer protection audit</w:t>
      </w:r>
      <w:r>
        <w:t>: "What disclosure requirements apply to our loan product?"</w:t>
      </w:r>
    </w:p>
    <w:p>
      <w:pPr>
        <w:pStyle w:val="ListBullet"/>
      </w:pPr>
      <w:r>
        <w:rPr>
          <w:b/>
        </w:rPr>
        <w:t>Complaint handling review</w:t>
      </w:r>
      <w:r>
        <w:t>: "What are the mandated complaint resolution timelines under CBN regulations?"</w:t>
      </w:r>
    </w:p>
    <w:p>
      <w:pPr>
        <w:pStyle w:val="ListBullet"/>
      </w:pPr>
      <w:r>
        <w:rPr>
          <w:b/>
        </w:rPr>
        <w:t>Cross-regulatory analysis</w:t>
      </w:r>
      <w:r>
        <w:t>: "What obligations apply to a payment company that also handles tax remittances?"</w:t>
      </w:r>
    </w:p>
    <w:p>
      <w:pPr>
        <w:pStyle w:val="ListBullet"/>
      </w:pPr>
      <w:r>
        <w:rPr>
          <w:b/>
        </w:rPr>
        <w:t>Penalty exposure assessment</w:t>
      </w:r>
      <w:r>
        <w:t>: "What sanctions does CBN impose for unresolved consumer complaints?"</w:t>
      </w:r>
    </w:p>
    <w:p>
      <w:pPr>
        <w:pBdr>
          <w:bottom w:val="single" w:sz="4" w:space="1" w:color="CCCCCC"/>
        </w:pBdr>
      </w:pPr>
    </w:p>
    <w:p>
      <w:pPr>
        <w:pStyle w:val="Heading2"/>
      </w:pPr>
      <w:r>
        <w:t>4. High-Level System Architecture</w:t>
      </w:r>
    </w:p>
    <w:p>
      <w:pPr>
        <w:pStyle w:val="Heading3"/>
      </w:pPr>
      <w:r>
        <w:t>Architectural Pattern</w:t>
      </w:r>
    </w:p>
    <w:p>
      <w:pPr>
        <w:spacing w:after="120"/>
      </w:pPr>
      <w:r>
        <w:t xml:space="preserve">The platform is a </w:t>
      </w:r>
      <w:r>
        <w:rPr>
          <w:b/>
        </w:rPr>
        <w:t>modular monolith</w:t>
      </w:r>
      <w:r>
        <w:t xml:space="preserve"> with </w:t>
      </w:r>
      <w:r>
        <w:rPr>
          <w:b/>
        </w:rPr>
        <w:t>agentic AI orchestration</w:t>
      </w:r>
      <w:r>
        <w:t xml:space="preserve"> internally. It is not a microservices architecture (all Python in one process) but is designed for clean separation of concerns between layers, making it straightforward to extract services later.</w:t>
      </w:r>
    </w:p>
    <w:p>
      <w:pPr>
        <w:spacing w:before="80" w:after="80"/>
        <w:ind w:left="432"/>
        <w:shd w:fill="F0F4F8" w:val="clear"/>
      </w:pPr>
      <w:r>
        <w:rPr>
          <w:rFonts w:ascii="Courier New" w:hAnsi="Courier New"/>
          <w:color w:val="1F1F1F"/>
          <w:sz w:val="17"/>
        </w:rPr>
        <w:t>┌──────────────────────────────────────────────────────────────────┐</w:t>
        <w:br/>
        <w:t>│                        CLIENT LAYER                               │</w:t>
        <w:br/>
        <w:t>│  curl / Postman / Chainlit UI / Future Web Frontend               │</w:t>
        <w:br/>
        <w:t>└────────────────────────────┬─────────────────────────────────────┘</w:t>
        <w:br/>
        <w:t xml:space="preserve">                             │ HTTP REST</w:t>
        <w:br/>
        <w:t>┌────────────────────────────▼─────────────────────────────────────┐</w:t>
        <w:br/>
        <w:t>│                        API LAYER (FastAPI)                        │</w:t>
        <w:br/>
        <w:t>│  POST /regulations/upload                                         │</w:t>
        <w:br/>
        <w:t>│  POST /analysis/analyze-business                                  │</w:t>
        <w:br/>
        <w:t>│  GET  /audit/trace/{id}                                           │</w:t>
        <w:br/>
        <w:t>│  GET  /audit/session/{id}                                         │</w:t>
        <w:br/>
        <w:t>│  GET  /health                                                     │</w:t>
        <w:br/>
        <w:t>└────────────────────────────┬─────────────────────────────────────┘</w:t>
        <w:br/>
        <w:t xml:space="preserve">                             │</w:t>
        <w:br/>
        <w:t xml:space="preserve">          ┌──────────────────┼──────────────────┐</w:t>
        <w:br/>
        <w:t xml:space="preserve">          │                  │                  │</w:t>
        <w:br/>
        <w:t>┌─────────▼──────┐  ┌────────▼──────┐  ┌───────▼────────────┐</w:t>
        <w:br/>
        <w:t>│IngestionService│  │ComplianceServ.│  │ AuditService        │</w:t>
        <w:br/>
        <w:t>│  (document     │  │ (workflow      │  │ (record persistence)│</w:t>
        <w:br/>
        <w:t>│   pipeline)    │  │  orchestration)│  └────────────────────┘</w:t>
        <w:br/>
        <w:t>└─────────┬──────┘  └────────┬──────┘</w:t>
        <w:br/>
        <w:t xml:space="preserve">          │                  │</w:t>
        <w:br/>
        <w:t xml:space="preserve">          │         ┌────────▼──────────────────────────────────┐</w:t>
        <w:br/>
        <w:t xml:space="preserve">          │         │         LANGGRAPH WORKFLOW                 │</w:t>
        <w:br/>
        <w:t xml:space="preserve">          │         │                                            │</w:t>
        <w:br/>
        <w:t xml:space="preserve">          │         │  ┌────────────┐    ┌──────────────────┐  │</w:t>
        <w:br/>
        <w:t xml:space="preserve">          │         │  │Orchestrator│───▶│Jurisdiction Mapper│  │</w:t>
        <w:br/>
        <w:t xml:space="preserve">          │         │  └────────────┘    └────────┬─────────┘  │</w:t>
        <w:br/>
        <w:t xml:space="preserve">          │         │                             │             │</w:t>
        <w:br/>
        <w:t xml:space="preserve">          │         │                    ┌────────▼─────────┐  │</w:t>
        <w:br/>
        <w:t xml:space="preserve">          │         │                    │  Research Agent   │  │</w:t>
        <w:br/>
        <w:t xml:space="preserve">          │         │                    │ (RetrievalService)│  │</w:t>
        <w:br/>
        <w:t xml:space="preserve">          │         │                    └────────┬─────────┘  │</w:t>
        <w:br/>
        <w:t xml:space="preserve">          │         │                             │             │</w:t>
        <w:br/>
        <w:t xml:space="preserve">          │         │                    ┌────────▼─────────┐  │</w:t>
        <w:br/>
        <w:t xml:space="preserve">          │         │                    │ Reasoning Agent   │  │</w:t>
        <w:br/>
        <w:t xml:space="preserve">          │         │                    └────────┬─────────┘  │</w:t>
        <w:br/>
        <w:t xml:space="preserve">          │         │                             │             │</w:t>
        <w:br/>
        <w:t xml:space="preserve">          │         │                    ┌────────▼─────────┐  │</w:t>
        <w:br/>
        <w:t xml:space="preserve">          │         │                    │  Auditor Agent    │  │</w:t>
        <w:br/>
        <w:t xml:space="preserve">          │         │                    └────────┬─────────┘  │</w:t>
        <w:br/>
        <w:t xml:space="preserve">          │         │                             │             │</w:t>
        <w:br/>
        <w:t xml:space="preserve">          │         │                    ┌────────▼─────────┐  │</w:t>
        <w:br/>
        <w:t xml:space="preserve">          │         │                    │Citation Verifier  │  │</w:t>
        <w:br/>
        <w:t xml:space="preserve">          │         │                    └────────┬─────────┘  │</w:t>
        <w:br/>
        <w:t xml:space="preserve">          │         │                             │             │</w:t>
        <w:br/>
        <w:t xml:space="preserve">          │         │                    ┌────────▼─────────┐  │</w:t>
        <w:br/>
        <w:t xml:space="preserve">          │         │          ┌─────────│   Critic Agent    │  │</w:t>
        <w:br/>
        <w:t xml:space="preserve">          │         │          │ FAIL    └────────┬─────────┘  │</w:t>
        <w:br/>
        <w:t xml:space="preserve">          │         │          │ (loop)           │ PASS        │</w:t>
        <w:br/>
        <w:t xml:space="preserve">          │         │          └─────────────────┘             │</w:t>
        <w:br/>
        <w:t xml:space="preserve">          │         │                    END                    │</w:t>
        <w:br/>
        <w:t xml:space="preserve">          │         └───────────────────────────────────────────┘</w:t>
        <w:br/>
        <w:t xml:space="preserve">          │</w:t>
        <w:br/>
        <w:t>┌─────────▼──────────────────────────────────────────────────────┐</w:t>
        <w:br/>
        <w:t>│                      DATA LAYER                                  │</w:t>
        <w:br/>
        <w:t>│                                                                  │</w:t>
        <w:br/>
        <w:t>│  ┌─────────────────┐  ┌──────────────────┐  ┌───────────────┐  │</w:t>
        <w:br/>
        <w:t>│  │   Qdrant         │  │   PostgreSQL      │  │    Redis      │  │</w:t>
        <w:br/>
        <w:t>│  │ (vector DB)      │  │ (audit records,   │  │ (future:      │  │</w:t>
        <w:br/>
        <w:t>│  │ dense + sparse   │  │  document index)  │  │  sessions,    │  │</w:t>
        <w:br/>
        <w:t>│  │ hybrid search    │  │                   │  │  caching)     │  │</w:t>
        <w:br/>
        <w:t>│  └─────────────────┘  └──────────────────┘  └───────────────┘  │</w:t>
        <w:br/>
        <w:t>└────────────────────────────────────────────────────────────────┘</w:t>
        <w:br/>
        <w:t xml:space="preserve">                             │</w:t>
        <w:br/>
        <w:t>┌────────────────────────────▼───────────────────────────────────┐</w:t>
        <w:br/>
        <w:t>│                    EXTERNAL SERVICES                             │</w:t>
        <w:br/>
        <w:t>│  OpenAI API (gpt-4o-mini)  /  Ollama (local, optional)          │</w:t>
        <w:br/>
        <w:t>└────────────────────────────────────────────────────────────────┘</w:t>
      </w:r>
    </w:p>
    <w:p>
      <w:pPr>
        <w:pStyle w:val="Heading3"/>
      </w:pPr>
      <w:r>
        <w:t>Major Components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Component</w:t>
            </w:r>
          </w:p>
        </w:tc>
        <w:tc>
          <w:tcPr>
            <w:tcW w:type="dxa" w:w="3135"/>
            <w:shd w:fill="1E569A" w:val="clear"/>
          </w:tcPr>
          <w:p>
            <w:r>
              <w:rPr>
                <w:b/>
                <w:color w:val="FFFFFF"/>
                <w:sz w:val="19"/>
              </w:rPr>
              <w:t>Technology</w:t>
            </w:r>
          </w:p>
        </w:tc>
        <w:tc>
          <w:tcPr>
            <w:tcW w:type="dxa" w:w="3135"/>
            <w:shd w:fill="1E569A" w:val="clear"/>
          </w:tcPr>
          <w:p>
            <w:r>
              <w:rPr>
                <w:b/>
                <w:color w:val="FFFFFF"/>
                <w:sz w:val="19"/>
              </w:rPr>
              <w:t>Responsibility</w:t>
            </w:r>
          </w:p>
        </w:tc>
      </w:tr>
      <w:tr>
        <w:tc>
          <w:tcPr>
            <w:tcW w:type="dxa" w:w="3135"/>
          </w:tcPr>
          <w:p>
            <w:r>
              <w:rPr>
                <w:b/>
                <w:sz w:val="19"/>
              </w:rPr>
              <w:t>API Server</w:t>
            </w:r>
          </w:p>
        </w:tc>
        <w:tc>
          <w:tcPr>
            <w:tcW w:type="dxa" w:w="3135"/>
          </w:tcPr>
          <w:p>
            <w:r>
              <w:rPr>
                <w:sz w:val="19"/>
              </w:rPr>
              <w:t>FastAPI + uvicorn</w:t>
            </w:r>
          </w:p>
        </w:tc>
        <w:tc>
          <w:tcPr>
            <w:tcW w:type="dxa" w:w="3135"/>
          </w:tcPr>
          <w:p>
            <w:r>
              <w:rPr>
                <w:sz w:val="19"/>
              </w:rPr>
              <w:t>HTTP request handling, routing, validation</w:t>
            </w:r>
          </w:p>
        </w:tc>
      </w:tr>
      <w:tr>
        <w:tc>
          <w:tcPr>
            <w:tcW w:type="dxa" w:w="3135"/>
            <w:shd w:fill="EEF4FB" w:val="clear"/>
          </w:tcPr>
          <w:p>
            <w:r>
              <w:rPr>
                <w:b/>
                <w:sz w:val="19"/>
              </w:rPr>
              <w:t>Workflow Engine</w:t>
            </w:r>
          </w:p>
        </w:tc>
        <w:tc>
          <w:tcPr>
            <w:tcW w:type="dxa" w:w="3135"/>
            <w:shd w:fill="EEF4FB" w:val="clear"/>
          </w:tcPr>
          <w:p>
            <w:r>
              <w:rPr>
                <w:sz w:val="19"/>
              </w:rPr>
              <w:t>LangGraph</w:t>
            </w:r>
          </w:p>
        </w:tc>
        <w:tc>
          <w:tcPr>
            <w:tcW w:type="dxa" w:w="3135"/>
            <w:shd w:fill="EEF4FB" w:val="clear"/>
          </w:tcPr>
          <w:p>
            <w:r>
              <w:rPr>
                <w:sz w:val="19"/>
              </w:rPr>
              <w:t>Multi-agent state machine orchestration</w:t>
            </w:r>
          </w:p>
        </w:tc>
      </w:tr>
      <w:tr>
        <w:tc>
          <w:tcPr>
            <w:tcW w:type="dxa" w:w="3135"/>
          </w:tcPr>
          <w:p>
            <w:r>
              <w:rPr>
                <w:b/>
                <w:sz w:val="19"/>
              </w:rPr>
              <w:t>Vector Store</w:t>
            </w:r>
          </w:p>
        </w:tc>
        <w:tc>
          <w:tcPr>
            <w:tcW w:type="dxa" w:w="3135"/>
          </w:tcPr>
          <w:p>
            <w:r>
              <w:rPr>
                <w:sz w:val="19"/>
              </w:rPr>
              <w:t>Qdrant</w:t>
            </w:r>
          </w:p>
        </w:tc>
        <w:tc>
          <w:tcPr>
            <w:tcW w:type="dxa" w:w="3135"/>
          </w:tcPr>
          <w:p>
            <w:r>
              <w:rPr>
                <w:sz w:val="19"/>
              </w:rPr>
              <w:t>Semantic + keyword search over regulation chunks</w:t>
            </w:r>
          </w:p>
        </w:tc>
      </w:tr>
      <w:tr>
        <w:tc>
          <w:tcPr>
            <w:tcW w:type="dxa" w:w="3135"/>
            <w:shd w:fill="EEF4FB" w:val="clear"/>
          </w:tcPr>
          <w:p>
            <w:r>
              <w:rPr>
                <w:b/>
                <w:sz w:val="19"/>
              </w:rPr>
              <w:t>Relational DB</w:t>
            </w:r>
          </w:p>
        </w:tc>
        <w:tc>
          <w:tcPr>
            <w:tcW w:type="dxa" w:w="3135"/>
            <w:shd w:fill="EEF4FB" w:val="clear"/>
          </w:tcPr>
          <w:p>
            <w:r>
              <w:rPr>
                <w:sz w:val="19"/>
              </w:rPr>
              <w:t>PostgreSQL + SQLAlchemy async</w:t>
            </w:r>
          </w:p>
        </w:tc>
        <w:tc>
          <w:tcPr>
            <w:tcW w:type="dxa" w:w="3135"/>
            <w:shd w:fill="EEF4FB" w:val="clear"/>
          </w:tcPr>
          <w:p>
            <w:r>
              <w:rPr>
                <w:sz w:val="19"/>
              </w:rPr>
              <w:t>Persistent audit records, document registry</w:t>
            </w:r>
          </w:p>
        </w:tc>
      </w:tr>
      <w:tr>
        <w:tc>
          <w:tcPr>
            <w:tcW w:type="dxa" w:w="3135"/>
          </w:tcPr>
          <w:p>
            <w:r>
              <w:rPr>
                <w:b/>
                <w:sz w:val="19"/>
              </w:rPr>
              <w:t>Cache/Session</w:t>
            </w:r>
          </w:p>
        </w:tc>
        <w:tc>
          <w:tcPr>
            <w:tcW w:type="dxa" w:w="3135"/>
          </w:tcPr>
          <w:p>
            <w:r>
              <w:rPr>
                <w:sz w:val="19"/>
              </w:rPr>
              <w:t>Redis</w:t>
            </w:r>
          </w:p>
        </w:tc>
        <w:tc>
          <w:tcPr>
            <w:tcW w:type="dxa" w:w="3135"/>
          </w:tcPr>
          <w:p>
            <w:r>
              <w:rPr>
                <w:sz w:val="19"/>
              </w:rPr>
              <w:t>Provisioned, reserved for future session state</w:t>
            </w:r>
          </w:p>
        </w:tc>
      </w:tr>
      <w:tr>
        <w:tc>
          <w:tcPr>
            <w:tcW w:type="dxa" w:w="3135"/>
            <w:shd w:fill="EEF4FB" w:val="clear"/>
          </w:tcPr>
          <w:p>
            <w:r>
              <w:rPr>
                <w:b/>
                <w:sz w:val="19"/>
              </w:rPr>
              <w:t>LLM Provider</w:t>
            </w:r>
          </w:p>
        </w:tc>
        <w:tc>
          <w:tcPr>
            <w:tcW w:type="dxa" w:w="3135"/>
            <w:shd w:fill="EEF4FB" w:val="clear"/>
          </w:tcPr>
          <w:p>
            <w:r>
              <w:rPr>
                <w:sz w:val="19"/>
              </w:rPr>
              <w:t>OpenAI gpt-4o-mini (or Ollama)</w:t>
            </w:r>
          </w:p>
        </w:tc>
        <w:tc>
          <w:tcPr>
            <w:tcW w:type="dxa" w:w="3135"/>
            <w:shd w:fill="EEF4FB" w:val="clear"/>
          </w:tcPr>
          <w:p>
            <w:r>
              <w:rPr>
                <w:sz w:val="19"/>
              </w:rPr>
              <w:t>Natural language reasoning across all agents</w:t>
            </w:r>
          </w:p>
        </w:tc>
      </w:tr>
      <w:tr>
        <w:tc>
          <w:tcPr>
            <w:tcW w:type="dxa" w:w="3135"/>
          </w:tcPr>
          <w:p>
            <w:r>
              <w:rPr>
                <w:b/>
                <w:sz w:val="19"/>
              </w:rPr>
              <w:t>Dense Embedder</w:t>
            </w:r>
          </w:p>
        </w:tc>
        <w:tc>
          <w:tcPr>
            <w:tcW w:type="dxa" w:w="3135"/>
          </w:tcPr>
          <w:p>
            <w:r>
              <w:rPr>
                <w:rFonts w:ascii="Courier New" w:hAnsi="Courier New"/>
                <w:color w:val="C7254E"/>
                <w:sz w:val="19"/>
              </w:rPr>
              <w:t>BAAI/bge-base-en-v1.5</w:t>
            </w:r>
            <w:r>
              <w:rPr>
                <w:sz w:val="19"/>
              </w:rPr>
              <w:t xml:space="preserve"> (768-dim)</w:t>
            </w:r>
          </w:p>
        </w:tc>
        <w:tc>
          <w:tcPr>
            <w:tcW w:type="dxa" w:w="3135"/>
          </w:tcPr>
          <w:p>
            <w:r>
              <w:rPr>
                <w:sz w:val="19"/>
              </w:rPr>
              <w:t>Semantic similarity encoding</w:t>
            </w:r>
          </w:p>
        </w:tc>
      </w:tr>
      <w:tr>
        <w:tc>
          <w:tcPr>
            <w:tcW w:type="dxa" w:w="3135"/>
            <w:shd w:fill="EEF4FB" w:val="clear"/>
          </w:tcPr>
          <w:p>
            <w:r>
              <w:rPr>
                <w:b/>
                <w:sz w:val="19"/>
              </w:rPr>
              <w:t>Sparse Embedder</w:t>
            </w:r>
          </w:p>
        </w:tc>
        <w:tc>
          <w:tcPr>
            <w:tcW w:type="dxa" w:w="3135"/>
            <w:shd w:fill="EEF4FB" w:val="clear"/>
          </w:tcPr>
          <w:p>
            <w:r>
              <w:rPr>
                <w:rFonts w:ascii="Courier New" w:hAnsi="Courier New"/>
                <w:color w:val="C7254E"/>
                <w:sz w:val="19"/>
              </w:rPr>
              <w:t>Qdrant/bm25</w:t>
            </w:r>
            <w:r>
              <w:rPr>
                <w:sz w:val="19"/>
              </w:rPr>
              <w:t xml:space="preserve"> via fastembed</w:t>
            </w:r>
          </w:p>
        </w:tc>
        <w:tc>
          <w:tcPr>
            <w:tcW w:type="dxa" w:w="3135"/>
            <w:shd w:fill="EEF4FB" w:val="clear"/>
          </w:tcPr>
          <w:p>
            <w:r>
              <w:rPr>
                <w:sz w:val="19"/>
              </w:rPr>
              <w:t>Keyword (BM25) search vectors</w:t>
            </w:r>
          </w:p>
        </w:tc>
      </w:tr>
      <w:tr>
        <w:tc>
          <w:tcPr>
            <w:tcW w:type="dxa" w:w="3135"/>
          </w:tcPr>
          <w:p>
            <w:r>
              <w:rPr>
                <w:b/>
                <w:sz w:val="19"/>
              </w:rPr>
              <w:t>Reranker</w:t>
            </w:r>
          </w:p>
        </w:tc>
        <w:tc>
          <w:tcPr>
            <w:tcW w:type="dxa" w:w="3135"/>
          </w:tcPr>
          <w:p>
            <w:r>
              <w:rPr>
                <w:rFonts w:ascii="Courier New" w:hAnsi="Courier New"/>
                <w:color w:val="C7254E"/>
                <w:sz w:val="19"/>
              </w:rPr>
              <w:t>BAAI/bge-reranker-v2-m3</w:t>
            </w:r>
          </w:p>
        </w:tc>
        <w:tc>
          <w:tcPr>
            <w:tcW w:type="dxa" w:w="3135"/>
          </w:tcPr>
          <w:p>
            <w:r>
              <w:rPr>
                <w:sz w:val="19"/>
              </w:rPr>
              <w:t>Cross-encoder re-ranking of retrieved chunks</w:t>
            </w:r>
          </w:p>
        </w:tc>
      </w:tr>
      <w:tr>
        <w:tc>
          <w:tcPr>
            <w:tcW w:type="dxa" w:w="3135"/>
            <w:shd w:fill="EEF4FB" w:val="clear"/>
          </w:tcPr>
          <w:p>
            <w:r>
              <w:rPr>
                <w:b/>
                <w:sz w:val="19"/>
              </w:rPr>
              <w:t>PDF Parser</w:t>
            </w:r>
          </w:p>
        </w:tc>
        <w:tc>
          <w:tcPr>
            <w:tcW w:type="dxa" w:w="3135"/>
            <w:shd w:fill="EEF4FB" w:val="clear"/>
          </w:tcPr>
          <w:p>
            <w:r>
              <w:rPr>
                <w:sz w:val="19"/>
              </w:rPr>
              <w:t>PyMuPDF + pdfplumber + Tesseract</w:t>
            </w:r>
          </w:p>
        </w:tc>
        <w:tc>
          <w:tcPr>
            <w:tcW w:type="dxa" w:w="3135"/>
            <w:shd w:fill="EEF4FB" w:val="clear"/>
          </w:tcPr>
          <w:p>
            <w:r>
              <w:rPr>
                <w:sz w:val="19"/>
              </w:rPr>
              <w:t>Regulatory document parsing and OCR</w:t>
            </w:r>
          </w:p>
        </w:tc>
      </w:tr>
    </w:tbl>
    <w:p/>
    <w:p>
      <w:pPr>
        <w:pBdr>
          <w:bottom w:val="single" w:sz="4" w:space="1" w:color="CCCCCC"/>
        </w:pBdr>
      </w:pPr>
    </w:p>
    <w:p>
      <w:pPr>
        <w:pStyle w:val="Heading2"/>
      </w:pPr>
      <w:r>
        <w:t>5. Detailed Backend Documentation</w:t>
      </w:r>
    </w:p>
    <w:p>
      <w:pPr>
        <w:pStyle w:val="Heading3"/>
      </w:pPr>
      <w:r>
        <w:t>Folder Structure</w:t>
      </w:r>
    </w:p>
    <w:p>
      <w:pPr>
        <w:spacing w:before="80" w:after="80"/>
        <w:ind w:left="432"/>
        <w:shd w:fill="F0F4F8" w:val="clear"/>
      </w:pPr>
      <w:r>
        <w:rPr>
          <w:rFonts w:ascii="Courier New" w:hAnsi="Courier New"/>
          <w:color w:val="1F1F1F"/>
          <w:sz w:val="17"/>
        </w:rPr>
        <w:t>app/</w:t>
        <w:br/>
        <w:t>├── main.py                    # FastAPI app, lifespan, router registration</w:t>
        <w:br/>
        <w:t>│</w:t>
        <w:br/>
        <w:t>├── api/</w:t>
        <w:br/>
        <w:t>│   └── routes/</w:t>
        <w:br/>
        <w:t>│       ├── regulations.py     # POST /regulations/upload</w:t>
        <w:br/>
        <w:t>│       ├── analysis.py        # POST /analysis/analyze-business</w:t>
        <w:br/>
        <w:t>│       └── audit.py           # GET /audit/trace/{id}, /audit/session/{id}</w:t>
        <w:br/>
        <w:t>│</w:t>
        <w:br/>
        <w:t>├── agents/                    # One file per LangGraph agent</w:t>
        <w:br/>
        <w:t>│   ├── orchestrator.py        # Query decomposition + task planning</w:t>
        <w:br/>
        <w:t>│   ├── jurisdiction_mapper.py # Regulator identification</w:t>
        <w:br/>
        <w:t>│   ├── reasoning.py           # Legal synthesis</w:t>
        <w:br/>
        <w:t>│   ├── auditor.py             # Risk scoring + gap analysis</w:t>
        <w:br/>
        <w:t>│   ├── citation_verifier.py   # Hallucination prevention</w:t>
        <w:br/>
        <w:t>│   └── critic.py              # Adversarial quality review</w:t>
        <w:br/>
        <w:t>│</w:t>
        <w:br/>
        <w:t>├── graph/</w:t>
        <w:br/>
        <w:t>│   ├── state.py               # AgentState TypedDict (shared workflow state)</w:t>
        <w:br/>
        <w:t>│   ├── nodes.py               # LangGraph node functions (one per agent)</w:t>
        <w:br/>
        <w:t>│   └── workflow.py            # Graph construction + compilation</w:t>
        <w:br/>
        <w:t>│</w:t>
        <w:br/>
        <w:t>├── services/</w:t>
        <w:br/>
        <w:t>│   ├── compliance_service.py  # Orchestrates LangGraph + audit persistence</w:t>
        <w:br/>
        <w:t>│   ├── ingestion_service.py   # Document ingestion pipeline</w:t>
        <w:br/>
        <w:t>│   ├── retrieval_service.py   # 8-step RAG pipeline</w:t>
        <w:br/>
        <w:t>│   ├── embedding_service.py   # Dense embeddings (sentence-transformers)</w:t>
        <w:br/>
        <w:t>│   ├── sparse_embedding_service.py  # BM25 sparse embeddings (fastembed)</w:t>
        <w:br/>
        <w:t>│   └── audit_service.py       # Creates + retrieves audit records</w:t>
        <w:br/>
        <w:t>│</w:t>
        <w:br/>
        <w:t>├── repositories/</w:t>
        <w:br/>
        <w:t>│   ├── vector_repository.py   # Qdrant upsert + hybrid search</w:t>
        <w:br/>
        <w:t>│   ├── document_repository.py # PostgreSQL document registry CRUD</w:t>
        <w:br/>
        <w:t>│   └── audit_repository.py    # PostgreSQL audit record CRUD</w:t>
        <w:br/>
        <w:t>│</w:t>
        <w:br/>
        <w:t>├── models/</w:t>
        <w:br/>
        <w:t>│   └── database_models.py     # SQLAlchemy ORM models (DocumentRecord, AuditRecord)</w:t>
        <w:br/>
        <w:t>│</w:t>
        <w:br/>
        <w:t>├── db/</w:t>
        <w:br/>
        <w:t>│   ├── postgres.py            # Async engine, session factory, init_db()</w:t>
        <w:br/>
        <w:t>│   └── qdrant.py              # Async Qdrant client, collection init</w:t>
        <w:br/>
        <w:t>│</w:t>
        <w:br/>
        <w:t>├── utils/</w:t>
        <w:br/>
        <w:t>│   ├── llm_client.py          # Unified OpenAI/Ollama async chat client</w:t>
        <w:br/>
        <w:t>│   ├── chunking.py            # Legal document chunking (section-aware)</w:t>
        <w:br/>
        <w:t>│   ├── parsers.py             # PDF parsing (PyMuPDF + pdfplumber + OCR)</w:t>
        <w:br/>
        <w:t>│   ├── reranking.py           # Cross-encoder reranking singleton</w:t>
        <w:br/>
        <w:t>│   └── citations.py           # Citation string formatting utilities</w:t>
        <w:br/>
        <w:t>│</w:t>
        <w:br/>
        <w:t>├── prompts/                   # System prompt constants per agent</w:t>
        <w:br/>
        <w:t>│   ├── orchestrator.py</w:t>
        <w:br/>
        <w:t>│   ├── jurisdiction_mapper.py</w:t>
        <w:br/>
        <w:t>│   ├── reasoning.py</w:t>
        <w:br/>
        <w:t>│   ├── auditor.py</w:t>
        <w:br/>
        <w:t>│   ├── citation_verifier.py</w:t>
        <w:br/>
        <w:t>│   └── critic.py</w:t>
        <w:br/>
        <w:t>│</w:t>
        <w:br/>
        <w:t>└── core/</w:t>
        <w:br/>
        <w:t xml:space="preserve">    └── config.py              # Pydantic Settings, loaded from .env</w:t>
      </w:r>
    </w:p>
    <w:p>
      <w:pPr>
        <w:pStyle w:val="Heading3"/>
      </w:pPr>
      <w:r>
        <w:t>Design Patterns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Pattern</w:t>
            </w:r>
          </w:p>
        </w:tc>
        <w:tc>
          <w:tcPr>
            <w:tcW w:type="dxa" w:w="4703"/>
            <w:shd w:fill="1E569A" w:val="clear"/>
          </w:tcPr>
          <w:p>
            <w:r>
              <w:rPr>
                <w:b/>
                <w:color w:val="FFFFFF"/>
                <w:sz w:val="19"/>
              </w:rPr>
              <w:t>Where Applied</w:t>
            </w:r>
          </w:p>
        </w:tc>
      </w:tr>
      <w:tr>
        <w:tc>
          <w:tcPr>
            <w:tcW w:type="dxa" w:w="4703"/>
          </w:tcPr>
          <w:p>
            <w:r>
              <w:rPr>
                <w:b/>
                <w:sz w:val="19"/>
              </w:rPr>
              <w:t>Repository pattern</w:t>
            </w:r>
          </w:p>
        </w:tc>
        <w:tc>
          <w:tcPr>
            <w:tcW w:type="dxa" w:w="4703"/>
          </w:tcPr>
          <w:p>
            <w:r>
              <w:rPr>
                <w:rFonts w:ascii="Courier New" w:hAnsi="Courier New"/>
                <w:color w:val="C7254E"/>
                <w:sz w:val="19"/>
              </w:rPr>
              <w:t>AuditRepository</w:t>
            </w:r>
            <w:r>
              <w:rPr>
                <w:sz w:val="19"/>
              </w:rPr>
              <w:t xml:space="preserve">, </w:t>
            </w:r>
            <w:r>
              <w:rPr>
                <w:rFonts w:ascii="Courier New" w:hAnsi="Courier New"/>
                <w:color w:val="C7254E"/>
                <w:sz w:val="19"/>
              </w:rPr>
              <w:t>DocumentRepository</w:t>
            </w:r>
            <w:r>
              <w:rPr>
                <w:sz w:val="19"/>
              </w:rPr>
              <w:t xml:space="preserve">, </w:t>
            </w:r>
            <w:r>
              <w:rPr>
                <w:rFonts w:ascii="Courier New" w:hAnsi="Courier New"/>
                <w:color w:val="C7254E"/>
                <w:sz w:val="19"/>
              </w:rPr>
              <w:t>VectorRepository</w:t>
            </w:r>
            <w:r>
              <w:rPr>
                <w:sz w:val="19"/>
              </w:rPr>
              <w:t xml:space="preserve"> — isolates DB access from business logic</w:t>
            </w:r>
          </w:p>
        </w:tc>
      </w:tr>
      <w:tr>
        <w:tc>
          <w:tcPr>
            <w:tcW w:type="dxa" w:w="4703"/>
            <w:shd w:fill="EEF4FB" w:val="clear"/>
          </w:tcPr>
          <w:p>
            <w:r>
              <w:rPr>
                <w:b/>
                <w:sz w:val="19"/>
              </w:rPr>
              <w:t>Service layer</w:t>
            </w:r>
          </w:p>
        </w:tc>
        <w:tc>
          <w:tcPr>
            <w:tcW w:type="dxa" w:w="4703"/>
            <w:shd w:fill="EEF4FB" w:val="clear"/>
          </w:tcPr>
          <w:p>
            <w:r>
              <w:rPr>
                <w:rFonts w:ascii="Courier New" w:hAnsi="Courier New"/>
                <w:color w:val="C7254E"/>
                <w:sz w:val="19"/>
              </w:rPr>
              <w:t>ComplianceService</w:t>
            </w:r>
            <w:r>
              <w:rPr>
                <w:sz w:val="19"/>
              </w:rPr>
              <w:t xml:space="preserve">, </w:t>
            </w:r>
            <w:r>
              <w:rPr>
                <w:rFonts w:ascii="Courier New" w:hAnsi="Courier New"/>
                <w:color w:val="C7254E"/>
                <w:sz w:val="19"/>
              </w:rPr>
              <w:t>IngestionService</w:t>
            </w:r>
            <w:r>
              <w:rPr>
                <w:sz w:val="19"/>
              </w:rPr>
              <w:t xml:space="preserve">, </w:t>
            </w:r>
            <w:r>
              <w:rPr>
                <w:rFonts w:ascii="Courier New" w:hAnsi="Courier New"/>
                <w:color w:val="C7254E"/>
                <w:sz w:val="19"/>
              </w:rPr>
              <w:t>AuditService</w:t>
            </w:r>
            <w:r>
              <w:rPr>
                <w:sz w:val="19"/>
              </w:rPr>
              <w:t xml:space="preserve"> — all business logic lives here, not in routes</w:t>
            </w:r>
          </w:p>
        </w:tc>
      </w:tr>
      <w:tr>
        <w:tc>
          <w:tcPr>
            <w:tcW w:type="dxa" w:w="4703"/>
          </w:tcPr>
          <w:p>
            <w:r>
              <w:rPr>
                <w:b/>
                <w:sz w:val="19"/>
              </w:rPr>
              <w:t>Dependency injection</w:t>
            </w:r>
          </w:p>
        </w:tc>
        <w:tc>
          <w:tcPr>
            <w:tcW w:type="dxa" w:w="4703"/>
          </w:tcPr>
          <w:p>
            <w:r>
              <w:rPr>
                <w:sz w:val="19"/>
              </w:rPr>
              <w:t xml:space="preserve">FastAPI </w:t>
            </w:r>
            <w:r>
              <w:rPr>
                <w:rFonts w:ascii="Courier New" w:hAnsi="Courier New"/>
                <w:color w:val="C7254E"/>
                <w:sz w:val="19"/>
              </w:rPr>
              <w:t>Depends(get_db_session)</w:t>
            </w:r>
            <w:r>
              <w:rPr>
                <w:sz w:val="19"/>
              </w:rPr>
              <w:t xml:space="preserve">, </w:t>
            </w:r>
            <w:r>
              <w:rPr>
                <w:rFonts w:ascii="Courier New" w:hAnsi="Courier New"/>
                <w:color w:val="C7254E"/>
                <w:sz w:val="19"/>
              </w:rPr>
              <w:t>Depends(get_qdrant_client)</w:t>
            </w:r>
            <w:r>
              <w:rPr>
                <w:sz w:val="19"/>
              </w:rPr>
              <w:t xml:space="preserve"> for testability</w:t>
            </w:r>
          </w:p>
        </w:tc>
      </w:tr>
      <w:tr>
        <w:tc>
          <w:tcPr>
            <w:tcW w:type="dxa" w:w="4703"/>
            <w:shd w:fill="EEF4FB" w:val="clear"/>
          </w:tcPr>
          <w:p>
            <w:r>
              <w:rPr>
                <w:b/>
                <w:sz w:val="19"/>
              </w:rPr>
              <w:t>Singleton</w:t>
            </w:r>
          </w:p>
        </w:tc>
        <w:tc>
          <w:tcPr>
            <w:tcW w:type="dxa" w:w="4703"/>
            <w:shd w:fill="EEF4FB" w:val="clear"/>
          </w:tcPr>
          <w:p>
            <w:r>
              <w:rPr>
                <w:sz w:val="19"/>
              </w:rPr>
              <w:t>Reranker model, Qdrant client, sparse embedding model — loaded once, reused across requests</w:t>
            </w:r>
          </w:p>
        </w:tc>
      </w:tr>
      <w:tr>
        <w:tc>
          <w:tcPr>
            <w:tcW w:type="dxa" w:w="4703"/>
          </w:tcPr>
          <w:p>
            <w:r>
              <w:rPr>
                <w:b/>
                <w:sz w:val="19"/>
              </w:rPr>
              <w:t>Strategy pattern</w:t>
            </w:r>
          </w:p>
        </w:tc>
        <w:tc>
          <w:tcPr>
            <w:tcW w:type="dxa" w:w="4703"/>
          </w:tcPr>
          <w:p>
            <w:r>
              <w:rPr>
                <w:rFonts w:ascii="Courier New" w:hAnsi="Courier New"/>
                <w:color w:val="C7254E"/>
                <w:sz w:val="19"/>
              </w:rPr>
              <w:t>llm_client.chat()</w:t>
            </w:r>
            <w:r>
              <w:rPr>
                <w:sz w:val="19"/>
              </w:rPr>
              <w:t xml:space="preserve"> routes to OpenAI or Ollama based on </w:t>
            </w:r>
            <w:r>
              <w:rPr>
                <w:rFonts w:ascii="Courier New" w:hAnsi="Courier New"/>
                <w:color w:val="C7254E"/>
                <w:sz w:val="19"/>
              </w:rPr>
              <w:t>settings.llm_provider</w:t>
            </w:r>
            <w:r>
              <w:rPr>
                <w:sz w:val="19"/>
              </w:rPr>
              <w:t xml:space="preserve"> config</w:t>
            </w:r>
          </w:p>
        </w:tc>
      </w:tr>
      <w:tr>
        <w:tc>
          <w:tcPr>
            <w:tcW w:type="dxa" w:w="4703"/>
            <w:shd w:fill="EEF4FB" w:val="clear"/>
          </w:tcPr>
          <w:p>
            <w:r>
              <w:rPr>
                <w:b/>
                <w:sz w:val="19"/>
              </w:rPr>
              <w:t>State machine</w:t>
            </w:r>
          </w:p>
        </w:tc>
        <w:tc>
          <w:tcPr>
            <w:tcW w:type="dxa" w:w="4703"/>
            <w:shd w:fill="EEF4FB" w:val="clear"/>
          </w:tcPr>
          <w:p>
            <w:r>
              <w:rPr>
                <w:sz w:val="19"/>
              </w:rPr>
              <w:t xml:space="preserve">LangGraph </w:t>
            </w:r>
            <w:r>
              <w:rPr>
                <w:rFonts w:ascii="Courier New" w:hAnsi="Courier New"/>
                <w:color w:val="C7254E"/>
                <w:sz w:val="19"/>
              </w:rPr>
              <w:t>StateGraph</w:t>
            </w:r>
            <w:r>
              <w:rPr>
                <w:sz w:val="19"/>
              </w:rPr>
              <w:t xml:space="preserve"> with typed state transitions</w:t>
            </w:r>
          </w:p>
        </w:tc>
      </w:tr>
    </w:tbl>
    <w:p/>
    <w:p>
      <w:pPr>
        <w:pStyle w:val="Heading3"/>
      </w:pPr>
      <w:r>
        <w:t>Application Startup Lifecycle</w:t>
      </w:r>
    </w:p>
    <w:p>
      <w:pPr>
        <w:spacing w:after="120"/>
      </w:pPr>
      <w:r>
        <w:rPr>
          <w:rFonts w:ascii="Courier New" w:hAnsi="Courier New"/>
          <w:color w:val="C7254E"/>
          <w:sz w:val="18"/>
        </w:rPr>
        <w:t>app/main.py</w:t>
      </w:r>
      <w:r>
        <w:t xml:space="preserve"> uses FastAPI's </w:t>
      </w:r>
      <w:r>
        <w:rPr>
          <w:rFonts w:ascii="Courier New" w:hAnsi="Courier New"/>
          <w:color w:val="C7254E"/>
          <w:sz w:val="18"/>
        </w:rPr>
        <w:t>lifespan</w:t>
      </w:r>
      <w:r>
        <w:t xml:space="preserve"> context manager:</w:t>
      </w:r>
    </w:p>
    <w:p>
      <w:pPr>
        <w:spacing w:before="80" w:after="80"/>
        <w:ind w:left="432"/>
        <w:shd w:fill="F0F4F8" w:val="clear"/>
      </w:pPr>
      <w:r>
        <w:rPr>
          <w:rFonts w:ascii="Courier New" w:hAnsi="Courier New"/>
          <w:color w:val="1F1F1F"/>
          <w:sz w:val="17"/>
        </w:rPr>
        <w:t>1. logging.basicConfig() — configure structured logging</w:t>
        <w:br/>
        <w:t>2. await init_db()        — SQLAlchemy creates PostgreSQL tables if not exist</w:t>
        <w:br/>
        <w:t>3. await init_qdrant_collection() — creates Qdrant 'regulations' collection with</w:t>
        <w:br/>
        <w:t xml:space="preserve">                                    dense (768-dim cosine) + sparse (BM25) vectors</w:t>
        <w:br/>
        <w:t xml:space="preserve">                                    if not already present</w:t>
        <w:br/>
        <w:t>4. yield (server running)</w:t>
        <w:br/>
        <w:t>5. Shutdown logged</w:t>
      </w:r>
    </w:p>
    <w:p>
      <w:pPr>
        <w:pStyle w:val="Heading3"/>
      </w:pPr>
      <w:r>
        <w:t>Configuration Management</w:t>
      </w:r>
    </w:p>
    <w:p>
      <w:pPr>
        <w:spacing w:after="120"/>
      </w:pPr>
      <w:r>
        <w:t xml:space="preserve">All configuration lives in </w:t>
      </w:r>
      <w:r>
        <w:rPr>
          <w:rFonts w:ascii="Courier New" w:hAnsi="Courier New"/>
          <w:color w:val="C7254E"/>
          <w:sz w:val="18"/>
        </w:rPr>
        <w:t>app/core/config.py</w:t>
      </w:r>
      <w:r>
        <w:t xml:space="preserve"> using </w:t>
      </w:r>
      <w:r>
        <w:rPr>
          <w:rFonts w:ascii="Courier New" w:hAnsi="Courier New"/>
          <w:color w:val="C7254E"/>
          <w:sz w:val="18"/>
        </w:rPr>
        <w:t>pydantic-settings</w:t>
      </w:r>
      <w:r>
        <w:t xml:space="preserve">. Values are loaded from a </w:t>
      </w:r>
      <w:r>
        <w:rPr>
          <w:rFonts w:ascii="Courier New" w:hAnsi="Courier New"/>
          <w:color w:val="C7254E"/>
          <w:sz w:val="18"/>
        </w:rPr>
        <w:t>.env</w:t>
      </w:r>
      <w:r>
        <w:t xml:space="preserve"> file automatically.</w:t>
      </w:r>
    </w:p>
    <w:p>
      <w:pPr>
        <w:spacing w:before="80" w:after="80"/>
        <w:ind w:left="432"/>
        <w:shd w:fill="F0F4F8" w:val="clear"/>
      </w:pPr>
      <w:r>
        <w:rPr>
          <w:rFonts w:ascii="Courier New" w:hAnsi="Courier New"/>
          <w:color w:val="1F1F1F"/>
          <w:sz w:val="17"/>
        </w:rPr>
        <w:t># Key settings</w:t>
        <w:br/>
        <w:t>llm_provider: str = "openai"          # "openai" or "ollama"</w:t>
        <w:br/>
        <w:t>openai_api_key: str = ""              # Set in .env</w:t>
        <w:br/>
        <w:t>openai_model: str = "gpt-4o-mini"</w:t>
        <w:br/>
        <w:t>openai_url: str = "https://api.openai.com/v1/chat/completions"</w:t>
        <w:br/>
        <w:t>llm_base_url: str = "http://localhost:11434"  # Ollama</w:t>
        <w:br/>
        <w:t>embedding_model_name: str = "BAAI/bge-base-en-v1.5"</w:t>
        <w:br/>
        <w:t>embedding_dimension: int = 768</w:t>
        <w:br/>
        <w:t>qdrant_collection_name: str = "regulations"</w:t>
      </w:r>
    </w:p>
    <w:p>
      <w:pPr>
        <w:pStyle w:val="Heading3"/>
      </w:pPr>
      <w:r>
        <w:t>Dependency Injection</w:t>
      </w:r>
    </w:p>
    <w:p>
      <w:pPr>
        <w:spacing w:after="120"/>
      </w:pPr>
      <w:r>
        <w:t>Routes receive database sessions via FastAPI's dependency system:</w:t>
      </w:r>
    </w:p>
    <w:p>
      <w:pPr>
        <w:spacing w:before="80" w:after="80"/>
        <w:ind w:left="432"/>
        <w:shd w:fill="F0F4F8" w:val="clear"/>
      </w:pPr>
      <w:r>
        <w:rPr>
          <w:rFonts w:ascii="Courier New" w:hAnsi="Courier New"/>
          <w:color w:val="1F1F1F"/>
          <w:sz w:val="17"/>
        </w:rPr>
        <w:t>@router.post("/analyze-business")</w:t>
        <w:br/>
        <w:t>async def analyze_business(</w:t>
        <w:br/>
        <w:t xml:space="preserve">    request: AnalysisRequest,</w:t>
        <w:br/>
        <w:t xml:space="preserve">    db: AsyncSession = Depends(get_db_session),  # injected</w:t>
        <w:br/>
        <w:t>):</w:t>
      </w:r>
    </w:p>
    <w:p>
      <w:pPr>
        <w:spacing w:after="120"/>
      </w:pPr>
      <w:r>
        <w:rPr>
          <w:rFonts w:ascii="Courier New" w:hAnsi="Courier New"/>
          <w:color w:val="C7254E"/>
          <w:sz w:val="18"/>
        </w:rPr>
        <w:t>get_db_session()</w:t>
      </w:r>
      <w:r>
        <w:t xml:space="preserve"> in </w:t>
      </w:r>
      <w:r>
        <w:rPr>
          <w:rFonts w:ascii="Courier New" w:hAnsi="Courier New"/>
          <w:color w:val="C7254E"/>
          <w:sz w:val="18"/>
        </w:rPr>
        <w:t>app/db/postgres.py</w:t>
      </w:r>
      <w:r>
        <w:t xml:space="preserve"> yields an </w:t>
      </w:r>
      <w:r>
        <w:rPr>
          <w:rFonts w:ascii="Courier New" w:hAnsi="Courier New"/>
          <w:color w:val="C7254E"/>
          <w:sz w:val="18"/>
        </w:rPr>
        <w:t>AsyncSession</w:t>
      </w:r>
      <w:r>
        <w:t>, auto-commits on success, rolls back on exception, and closes after the request.</w:t>
      </w:r>
    </w:p>
    <w:p>
      <w:pPr>
        <w:pStyle w:val="Heading3"/>
      </w:pPr>
      <w:r>
        <w:t>Error Handling</w:t>
      </w:r>
    </w:p>
    <w:p>
      <w:pPr>
        <w:pStyle w:val="ListBullet"/>
      </w:pPr>
      <w:r>
        <w:rPr>
          <w:b/>
        </w:rPr>
        <w:t>Route level</w:t>
      </w:r>
      <w:r>
        <w:t xml:space="preserve">: </w:t>
      </w:r>
      <w:r>
        <w:rPr>
          <w:rFonts w:ascii="Courier New" w:hAnsi="Courier New"/>
          <w:color w:val="C7254E"/>
          <w:sz w:val="18"/>
        </w:rPr>
        <w:t>HTTPException</w:t>
      </w:r>
      <w:r>
        <w:t xml:space="preserve"> raised for known errors (404 not found, 400 bad request, 409 conflict)</w:t>
      </w:r>
    </w:p>
    <w:p>
      <w:pPr>
        <w:pStyle w:val="ListBullet"/>
      </w:pPr>
      <w:r>
        <w:rPr>
          <w:b/>
        </w:rPr>
        <w:t>Service level</w:t>
      </w:r>
      <w:r>
        <w:t xml:space="preserve">: </w:t>
      </w:r>
      <w:r>
        <w:rPr>
          <w:rFonts w:ascii="Courier New" w:hAnsi="Courier New"/>
          <w:color w:val="C7254E"/>
          <w:sz w:val="18"/>
        </w:rPr>
        <w:t>ValueError</w:t>
      </w:r>
      <w:r>
        <w:t xml:space="preserve"> raised for business rule violations (e.g., zero chunks after parsing), caught and converted to HTTP 500 in routes</w:t>
      </w:r>
    </w:p>
    <w:p>
      <w:pPr>
        <w:pStyle w:val="ListBullet"/>
      </w:pPr>
      <w:r>
        <w:rPr>
          <w:b/>
        </w:rPr>
        <w:t>Agent level</w:t>
      </w:r>
      <w:r>
        <w:t xml:space="preserve">: Each agent has a </w:t>
      </w:r>
      <w:r>
        <w:rPr>
          <w:rFonts w:ascii="Courier New" w:hAnsi="Courier New"/>
          <w:color w:val="C7254E"/>
          <w:sz w:val="18"/>
        </w:rPr>
        <w:t>try/except json.JSONDecodeError</w:t>
      </w:r>
      <w:r>
        <w:t xml:space="preserve"> fallback that returns a safe default dict — the workflow never crashes due to a malformed LLM response</w:t>
      </w:r>
    </w:p>
    <w:p>
      <w:pPr>
        <w:pStyle w:val="ListBullet"/>
      </w:pPr>
      <w:r>
        <w:rPr>
          <w:b/>
        </w:rPr>
        <w:t>Retrieval level</w:t>
      </w:r>
      <w:r>
        <w:t xml:space="preserve">: </w:t>
      </w:r>
      <w:r>
        <w:rPr>
          <w:rFonts w:ascii="Courier New" w:hAnsi="Courier New"/>
          <w:color w:val="C7254E"/>
          <w:sz w:val="18"/>
        </w:rPr>
        <w:t>_expand_queries</w:t>
      </w:r>
      <w:r>
        <w:t xml:space="preserve"> and </w:t>
      </w:r>
      <w:r>
        <w:rPr>
          <w:rFonts w:ascii="Courier New" w:hAnsi="Courier New"/>
          <w:color w:val="C7254E"/>
          <w:sz w:val="18"/>
        </w:rPr>
        <w:t>_compress_chunk</w:t>
      </w:r>
      <w:r>
        <w:t xml:space="preserve"> both have </w:t>
      </w:r>
      <w:r>
        <w:rPr>
          <w:rFonts w:ascii="Courier New" w:hAnsi="Courier New"/>
          <w:color w:val="C7254E"/>
          <w:sz w:val="18"/>
        </w:rPr>
        <w:t>except Exception</w:t>
      </w:r>
      <w:r>
        <w:t xml:space="preserve"> guards with </w:t>
      </w:r>
      <w:r>
        <w:rPr>
          <w:rFonts w:ascii="Courier New" w:hAnsi="Courier New"/>
          <w:color w:val="C7254E"/>
          <w:sz w:val="18"/>
        </w:rPr>
        <w:t>logger.debug</w:t>
      </w:r>
      <w:r>
        <w:t xml:space="preserve"> — gracefully degrade to original query / uncompressed chunk</w:t>
      </w:r>
    </w:p>
    <w:p>
      <w:pPr>
        <w:pStyle w:val="Heading3"/>
      </w:pPr>
      <w:r>
        <w:t>Validation</w:t>
      </w:r>
    </w:p>
    <w:p>
      <w:pPr>
        <w:pStyle w:val="ListBullet"/>
      </w:pPr>
      <w:r>
        <w:rPr>
          <w:b/>
        </w:rPr>
        <w:t>Request validation</w:t>
      </w:r>
      <w:r>
        <w:t xml:space="preserve">: Pydantic </w:t>
      </w:r>
      <w:r>
        <w:rPr>
          <w:rFonts w:ascii="Courier New" w:hAnsi="Courier New"/>
          <w:color w:val="C7254E"/>
          <w:sz w:val="18"/>
        </w:rPr>
        <w:t>BaseModel</w:t>
      </w:r>
      <w:r>
        <w:t xml:space="preserve"> on all request bodies via FastAPI — wrong types return HTTP 422 automatically</w:t>
      </w:r>
    </w:p>
    <w:p>
      <w:pPr>
        <w:pStyle w:val="ListBullet"/>
      </w:pPr>
      <w:r>
        <w:rPr>
          <w:b/>
        </w:rPr>
        <w:t>File validation</w:t>
      </w:r>
      <w:r>
        <w:t xml:space="preserve">: </w:t>
      </w:r>
      <w:r>
        <w:rPr>
          <w:rFonts w:ascii="Courier New" w:hAnsi="Courier New"/>
          <w:color w:val="C7254E"/>
          <w:sz w:val="18"/>
        </w:rPr>
        <w:t>file.content_type != "application/pdf"</w:t>
      </w:r>
      <w:r>
        <w:t xml:space="preserve"> check in upload route</w:t>
      </w:r>
    </w:p>
    <w:p>
      <w:pPr>
        <w:pStyle w:val="ListBullet"/>
      </w:pPr>
      <w:r>
        <w:rPr>
          <w:b/>
        </w:rPr>
        <w:t>Deduplication</w:t>
      </w:r>
      <w:r>
        <w:t>: SHA-256 hash check before ingesting a document — returns HTTP 409 if content already indexed</w:t>
      </w:r>
    </w:p>
    <w:p>
      <w:pPr>
        <w:pStyle w:val="ListBullet"/>
      </w:pPr>
      <w:r>
        <w:rPr>
          <w:b/>
        </w:rPr>
        <w:t>UUID validation</w:t>
      </w:r>
      <w:r>
        <w:t xml:space="preserve">: </w:t>
      </w:r>
      <w:r>
        <w:rPr>
          <w:rFonts w:ascii="Courier New" w:hAnsi="Courier New"/>
          <w:color w:val="C7254E"/>
          <w:sz w:val="18"/>
        </w:rPr>
        <w:t>uuid.UUID(audit_id)</w:t>
      </w:r>
      <w:r>
        <w:t xml:space="preserve"> parse attempt in </w:t>
      </w:r>
      <w:r>
        <w:rPr>
          <w:rFonts w:ascii="Courier New" w:hAnsi="Courier New"/>
          <w:color w:val="C7254E"/>
          <w:sz w:val="18"/>
        </w:rPr>
        <w:t>AuditService.get_record()</w:t>
      </w:r>
      <w:r>
        <w:t xml:space="preserve"> — returns </w:t>
      </w:r>
      <w:r>
        <w:rPr>
          <w:rFonts w:ascii="Courier New" w:hAnsi="Courier New"/>
          <w:color w:val="C7254E"/>
          <w:sz w:val="18"/>
        </w:rPr>
        <w:t>None</w:t>
      </w:r>
      <w:r>
        <w:t xml:space="preserve"> on invalid UUID</w:t>
      </w:r>
    </w:p>
    <w:p>
      <w:pPr>
        <w:pStyle w:val="Heading3"/>
      </w:pPr>
      <w:r>
        <w:t>Async Architecture</w:t>
      </w:r>
    </w:p>
    <w:p>
      <w:pPr>
        <w:spacing w:after="120"/>
      </w:pPr>
      <w:r>
        <w:t>The entire backend is async (</w:t>
      </w:r>
      <w:r>
        <w:rPr>
          <w:rFonts w:ascii="Courier New" w:hAnsi="Courier New"/>
          <w:color w:val="C7254E"/>
          <w:sz w:val="18"/>
        </w:rPr>
        <w:t>async def</w:t>
      </w:r>
      <w:r>
        <w:t xml:space="preserve"> throughout). Key async boundaries:</w:t>
      </w:r>
    </w:p>
    <w:p>
      <w:pPr>
        <w:pStyle w:val="ListBullet"/>
      </w:pPr>
      <w:r>
        <w:t xml:space="preserve">All database operations via </w:t>
      </w:r>
      <w:r>
        <w:rPr>
          <w:rFonts w:ascii="Courier New" w:hAnsi="Courier New"/>
          <w:color w:val="C7254E"/>
          <w:sz w:val="18"/>
        </w:rPr>
        <w:t>asyncpg</w:t>
      </w:r>
      <w:r>
        <w:t xml:space="preserve"> through SQLAlchemy async engine</w:t>
      </w:r>
    </w:p>
    <w:p>
      <w:pPr>
        <w:pStyle w:val="ListBullet"/>
      </w:pPr>
      <w:r>
        <w:t xml:space="preserve">All Qdrant operations via </w:t>
      </w:r>
      <w:r>
        <w:rPr>
          <w:rFonts w:ascii="Courier New" w:hAnsi="Courier New"/>
          <w:color w:val="C7254E"/>
          <w:sz w:val="18"/>
        </w:rPr>
        <w:t>AsyncQdrantClient</w:t>
      </w:r>
    </w:p>
    <w:p>
      <w:pPr>
        <w:pStyle w:val="ListBullet"/>
      </w:pPr>
      <w:r>
        <w:t xml:space="preserve">All LLM calls via </w:t>
      </w:r>
      <w:r>
        <w:rPr>
          <w:rFonts w:ascii="Courier New" w:hAnsi="Courier New"/>
          <w:color w:val="C7254E"/>
          <w:sz w:val="18"/>
        </w:rPr>
        <w:t>httpx.AsyncClient</w:t>
      </w:r>
    </w:p>
    <w:p>
      <w:pPr>
        <w:pStyle w:val="ListBullet"/>
      </w:pPr>
      <w:r>
        <w:t xml:space="preserve">All LangGraph node functions are </w:t>
      </w:r>
      <w:r>
        <w:rPr>
          <w:rFonts w:ascii="Courier New" w:hAnsi="Courier New"/>
          <w:color w:val="C7254E"/>
          <w:sz w:val="18"/>
        </w:rPr>
        <w:t>async def</w:t>
      </w:r>
    </w:p>
    <w:p>
      <w:pPr>
        <w:pStyle w:val="ListBullet"/>
      </w:pPr>
      <w:r>
        <w:rPr>
          <w:rFonts w:ascii="Courier New" w:hAnsi="Courier New"/>
          <w:color w:val="C7254E"/>
          <w:sz w:val="18"/>
        </w:rPr>
        <w:t>asyncio.gather()</w:t>
      </w:r>
      <w:r>
        <w:t xml:space="preserve"> used in </w:t>
      </w:r>
      <w:r>
        <w:rPr>
          <w:rFonts w:ascii="Courier New" w:hAnsi="Courier New"/>
          <w:color w:val="C7254E"/>
          <w:sz w:val="18"/>
        </w:rPr>
        <w:t>_compress_chunks()</w:t>
      </w:r>
      <w:r>
        <w:t xml:space="preserve"> for concurrent chunk compression</w:t>
      </w:r>
    </w:p>
    <w:p>
      <w:pPr>
        <w:pBdr>
          <w:bottom w:val="single" w:sz="4" w:space="1" w:color="CCCCCC"/>
        </w:pBdr>
      </w:pPr>
    </w:p>
    <w:p>
      <w:pPr>
        <w:pStyle w:val="Heading2"/>
      </w:pPr>
      <w:r>
        <w:t>6. Frontend Documentation</w:t>
      </w:r>
    </w:p>
    <w:p>
      <w:pPr>
        <w:pStyle w:val="Heading3"/>
      </w:pPr>
      <w:r>
        <w:t>Current Status</w:t>
      </w:r>
    </w:p>
    <w:p>
      <w:pPr>
        <w:spacing w:after="120"/>
      </w:pPr>
      <w:r>
        <w:t xml:space="preserve">The MVP has </w:t>
      </w:r>
      <w:r>
        <w:rPr>
          <w:b/>
        </w:rPr>
        <w:t>no dedicated frontend</w:t>
      </w:r>
      <w:r>
        <w:t>. The system is a pure REST API consumed via curl, Postman, or any HTTP client.</w:t>
      </w:r>
    </w:p>
    <w:p>
      <w:pPr>
        <w:spacing w:after="120"/>
      </w:pPr>
      <w:r>
        <w:rPr>
          <w:b/>
        </w:rPr>
        <w:t>Chainlit</w:t>
      </w:r>
      <w:r>
        <w:t xml:space="preserve"> is provisioned in the architecture plan as a "Regulatory Intelligence Console" (not a chatbot UI). It will visualize:</w:t>
      </w:r>
    </w:p>
    <w:p>
      <w:pPr>
        <w:pStyle w:val="ListBullet"/>
      </w:pPr>
      <w:r>
        <w:t>Active workflow stages and agent traces</w:t>
      </w:r>
    </w:p>
    <w:p>
      <w:pPr>
        <w:pStyle w:val="ListBullet"/>
      </w:pPr>
      <w:r>
        <w:t>Compliance reports with structured sections</w:t>
      </w:r>
    </w:p>
    <w:p>
      <w:pPr>
        <w:pStyle w:val="ListBullet"/>
      </w:pPr>
      <w:r>
        <w:t>Risk scores and citations</w:t>
      </w:r>
    </w:p>
    <w:p>
      <w:pPr>
        <w:pStyle w:val="ListBullet"/>
      </w:pPr>
      <w:r>
        <w:t>Audit history per session</w:t>
      </w:r>
    </w:p>
    <w:p>
      <w:pPr>
        <w:pStyle w:val="Heading3"/>
      </w:pPr>
      <w:r>
        <w:t>Planned Frontend Architecture</w:t>
      </w:r>
    </w:p>
    <w:p>
      <w:pPr>
        <w:spacing w:before="80" w:after="80"/>
        <w:ind w:left="432"/>
        <w:shd w:fill="F0F4F8" w:val="clear"/>
      </w:pPr>
      <w:r>
        <w:rPr>
          <w:rFonts w:ascii="Courier New" w:hAnsi="Courier New"/>
          <w:color w:val="1F1F1F"/>
          <w:sz w:val="17"/>
        </w:rPr>
        <w:t>Chainlit Application</w:t>
        <w:br/>
        <w:t>├── Workflow visualization panel (LangGraph step progress)</w:t>
        <w:br/>
        <w:t>├── Compliance report renderer (obligations / checklist / citations)</w:t>
        <w:br/>
        <w:t>├── Risk score dashboard (score + risk level + recommendations)</w:t>
        <w:br/>
        <w:t>├── Agent trace explorer (expandable decision tree per agent)</w:t>
        <w:br/>
        <w:t>└── Document upload interface (drag-and-drop regulation PDFs)</w:t>
      </w:r>
    </w:p>
    <w:p>
      <w:pPr>
        <w:spacing w:after="120"/>
      </w:pPr>
      <w:r>
        <w:rPr>
          <w:b/>
        </w:rPr>
        <w:t>Note</w:t>
      </w:r>
      <w:r>
        <w:t>: Chainlit is not yet implemented. This section describes the intended design per the architecture document.</w:t>
      </w:r>
    </w:p>
    <w:p>
      <w:pPr>
        <w:pBdr>
          <w:bottom w:val="single" w:sz="4" w:space="1" w:color="CCCCCC"/>
        </w:pBdr>
      </w:pPr>
    </w:p>
    <w:p>
      <w:pPr>
        <w:pStyle w:val="Heading2"/>
      </w:pPr>
      <w:r>
        <w:t>7. Database Documentation</w:t>
      </w:r>
    </w:p>
    <w:p>
      <w:pPr>
        <w:pStyle w:val="Heading3"/>
      </w:pPr>
      <w:r>
        <w:t>Database Overview</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Database</w:t>
            </w:r>
          </w:p>
        </w:tc>
        <w:tc>
          <w:tcPr>
            <w:tcW w:type="dxa" w:w="3135"/>
            <w:shd w:fill="1E569A" w:val="clear"/>
          </w:tcPr>
          <w:p>
            <w:r>
              <w:rPr>
                <w:b/>
                <w:color w:val="FFFFFF"/>
                <w:sz w:val="19"/>
              </w:rPr>
              <w:t>Technology</w:t>
            </w:r>
          </w:p>
        </w:tc>
        <w:tc>
          <w:tcPr>
            <w:tcW w:type="dxa" w:w="3135"/>
            <w:shd w:fill="1E569A" w:val="clear"/>
          </w:tcPr>
          <w:p>
            <w:r>
              <w:rPr>
                <w:b/>
                <w:color w:val="FFFFFF"/>
                <w:sz w:val="19"/>
              </w:rPr>
              <w:t>Purpose</w:t>
            </w:r>
          </w:p>
        </w:tc>
      </w:tr>
      <w:tr>
        <w:tc>
          <w:tcPr>
            <w:tcW w:type="dxa" w:w="3135"/>
          </w:tcPr>
          <w:p>
            <w:r>
              <w:rPr>
                <w:b/>
                <w:sz w:val="19"/>
              </w:rPr>
              <w:t>PostgreSQL</w:t>
            </w:r>
          </w:p>
        </w:tc>
        <w:tc>
          <w:tcPr>
            <w:tcW w:type="dxa" w:w="3135"/>
          </w:tcPr>
          <w:p>
            <w:r>
              <w:rPr>
                <w:sz w:val="19"/>
              </w:rPr>
              <w:t>PostgreSQL 16 via asyncpg + SQLAlchemy async</w:t>
            </w:r>
          </w:p>
        </w:tc>
        <w:tc>
          <w:tcPr>
            <w:tcW w:type="dxa" w:w="3135"/>
          </w:tcPr>
          <w:p>
            <w:r>
              <w:rPr>
                <w:sz w:val="19"/>
              </w:rPr>
              <w:t>Persistent relational storage for audit records and document registry</w:t>
            </w:r>
          </w:p>
        </w:tc>
      </w:tr>
      <w:tr>
        <w:tc>
          <w:tcPr>
            <w:tcW w:type="dxa" w:w="3135"/>
            <w:shd w:fill="EEF4FB" w:val="clear"/>
          </w:tcPr>
          <w:p>
            <w:r>
              <w:rPr>
                <w:b/>
                <w:sz w:val="19"/>
              </w:rPr>
              <w:t>Qdrant</w:t>
            </w:r>
          </w:p>
        </w:tc>
        <w:tc>
          <w:tcPr>
            <w:tcW w:type="dxa" w:w="3135"/>
            <w:shd w:fill="EEF4FB" w:val="clear"/>
          </w:tcPr>
          <w:p>
            <w:r>
              <w:rPr>
                <w:sz w:val="19"/>
              </w:rPr>
              <w:t>Qdrant (latest)</w:t>
            </w:r>
          </w:p>
        </w:tc>
        <w:tc>
          <w:tcPr>
            <w:tcW w:type="dxa" w:w="3135"/>
            <w:shd w:fill="EEF4FB" w:val="clear"/>
          </w:tcPr>
          <w:p>
            <w:r>
              <w:rPr>
                <w:sz w:val="19"/>
              </w:rPr>
              <w:t>Vector database for semantic + keyword search over regulation chunks</w:t>
            </w:r>
          </w:p>
        </w:tc>
      </w:tr>
      <w:tr>
        <w:tc>
          <w:tcPr>
            <w:tcW w:type="dxa" w:w="3135"/>
          </w:tcPr>
          <w:p>
            <w:r>
              <w:rPr>
                <w:b/>
                <w:sz w:val="19"/>
              </w:rPr>
              <w:t>Redis</w:t>
            </w:r>
          </w:p>
        </w:tc>
        <w:tc>
          <w:tcPr>
            <w:tcW w:type="dxa" w:w="3135"/>
          </w:tcPr>
          <w:p>
            <w:r>
              <w:rPr>
                <w:sz w:val="19"/>
              </w:rPr>
              <w:t>Redis 7</w:t>
            </w:r>
          </w:p>
        </w:tc>
        <w:tc>
          <w:tcPr>
            <w:tcW w:type="dxa" w:w="3135"/>
          </w:tcPr>
          <w:p>
            <w:r>
              <w:rPr>
                <w:sz w:val="19"/>
              </w:rPr>
              <w:t>Provisioned for future session management and query caching — dormant in MVP</w:t>
            </w:r>
          </w:p>
        </w:tc>
      </w:tr>
    </w:tbl>
    <w:p/>
    <w:p>
      <w:pPr>
        <w:pBdr>
          <w:bottom w:val="single" w:sz="4" w:space="1" w:color="CCCCCC"/>
        </w:pBdr>
      </w:pPr>
    </w:p>
    <w:p>
      <w:pPr>
        <w:pStyle w:val="Heading3"/>
      </w:pPr>
      <w:r>
        <w:t>PostgreSQL Schema</w:t>
      </w:r>
    </w:p>
    <w:p>
      <w:pPr>
        <w:pStyle w:val="Heading4"/>
      </w:pPr>
      <w:r>
        <w:t>Table: `documents`</w:t>
      </w:r>
    </w:p>
    <w:p>
      <w:pPr>
        <w:spacing w:after="120"/>
      </w:pPr>
      <w:r>
        <w:t>Tracks every regulation document ingested into the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Column</w:t>
            </w:r>
          </w:p>
        </w:tc>
        <w:tc>
          <w:tcPr>
            <w:tcW w:type="dxa" w:w="3135"/>
            <w:shd w:fill="1E569A" w:val="clear"/>
          </w:tcPr>
          <w:p>
            <w:r>
              <w:rPr>
                <w:b/>
                <w:color w:val="FFFFFF"/>
                <w:sz w:val="19"/>
              </w:rPr>
              <w:t>Type</w:t>
            </w:r>
          </w:p>
        </w:tc>
        <w:tc>
          <w:tcPr>
            <w:tcW w:type="dxa" w:w="3135"/>
            <w:shd w:fill="1E569A" w:val="clear"/>
          </w:tcPr>
          <w:p>
            <w:r>
              <w:rPr>
                <w:b/>
                <w:color w:val="FFFFFF"/>
                <w:sz w:val="19"/>
              </w:rPr>
              <w:t>Description</w:t>
            </w:r>
          </w:p>
        </w:tc>
      </w:tr>
      <w:tr>
        <w:tc>
          <w:tcPr>
            <w:tcW w:type="dxa" w:w="3135"/>
          </w:tcPr>
          <w:p>
            <w:r>
              <w:rPr>
                <w:rFonts w:ascii="Courier New" w:hAnsi="Courier New"/>
                <w:color w:val="C7254E"/>
                <w:sz w:val="19"/>
              </w:rPr>
              <w:t>id</w:t>
            </w:r>
          </w:p>
        </w:tc>
        <w:tc>
          <w:tcPr>
            <w:tcW w:type="dxa" w:w="3135"/>
          </w:tcPr>
          <w:p>
            <w:r>
              <w:rPr>
                <w:sz w:val="19"/>
              </w:rPr>
              <w:t>SERIAL PRIMARY KEY</w:t>
            </w:r>
          </w:p>
        </w:tc>
        <w:tc>
          <w:tcPr>
            <w:tcW w:type="dxa" w:w="3135"/>
          </w:tcPr>
          <w:p>
            <w:r>
              <w:rPr>
                <w:sz w:val="19"/>
              </w:rPr>
              <w:t>Auto-increment integer</w:t>
            </w:r>
          </w:p>
        </w:tc>
      </w:tr>
      <w:tr>
        <w:tc>
          <w:tcPr>
            <w:tcW w:type="dxa" w:w="3135"/>
            <w:shd w:fill="EEF4FB" w:val="clear"/>
          </w:tcPr>
          <w:p>
            <w:r>
              <w:rPr>
                <w:rFonts w:ascii="Courier New" w:hAnsi="Courier New"/>
                <w:color w:val="C7254E"/>
                <w:sz w:val="19"/>
              </w:rPr>
              <w:t>file_name</w:t>
            </w:r>
          </w:p>
        </w:tc>
        <w:tc>
          <w:tcPr>
            <w:tcW w:type="dxa" w:w="3135"/>
            <w:shd w:fill="EEF4FB" w:val="clear"/>
          </w:tcPr>
          <w:p>
            <w:r>
              <w:rPr>
                <w:sz w:val="19"/>
              </w:rPr>
              <w:t>VARCHAR(512)</w:t>
            </w:r>
          </w:p>
        </w:tc>
        <w:tc>
          <w:tcPr>
            <w:tcW w:type="dxa" w:w="3135"/>
            <w:shd w:fill="EEF4FB" w:val="clear"/>
          </w:tcPr>
          <w:p>
            <w:r>
              <w:rPr>
                <w:sz w:val="19"/>
              </w:rPr>
              <w:t>Original filename (e.g., "CBN Consumer Protection Regulations.pdf")</w:t>
            </w:r>
          </w:p>
        </w:tc>
      </w:tr>
      <w:tr>
        <w:tc>
          <w:tcPr>
            <w:tcW w:type="dxa" w:w="3135"/>
          </w:tcPr>
          <w:p>
            <w:r>
              <w:rPr>
                <w:rFonts w:ascii="Courier New" w:hAnsi="Courier New"/>
                <w:color w:val="C7254E"/>
                <w:sz w:val="19"/>
              </w:rPr>
              <w:t>file_hash</w:t>
            </w:r>
          </w:p>
        </w:tc>
        <w:tc>
          <w:tcPr>
            <w:tcW w:type="dxa" w:w="3135"/>
          </w:tcPr>
          <w:p>
            <w:r>
              <w:rPr>
                <w:sz w:val="19"/>
              </w:rPr>
              <w:t>VARCHAR(64) UNIQUE INDEX</w:t>
            </w:r>
          </w:p>
        </w:tc>
        <w:tc>
          <w:tcPr>
            <w:tcW w:type="dxa" w:w="3135"/>
          </w:tcPr>
          <w:p>
            <w:r>
              <w:rPr>
                <w:sz w:val="19"/>
              </w:rPr>
              <w:t>SHA-256 hash for deduplication</w:t>
            </w:r>
          </w:p>
        </w:tc>
      </w:tr>
      <w:tr>
        <w:tc>
          <w:tcPr>
            <w:tcW w:type="dxa" w:w="3135"/>
            <w:shd w:fill="EEF4FB" w:val="clear"/>
          </w:tcPr>
          <w:p>
            <w:r>
              <w:rPr>
                <w:rFonts w:ascii="Courier New" w:hAnsi="Courier New"/>
                <w:color w:val="C7254E"/>
                <w:sz w:val="19"/>
              </w:rPr>
              <w:t>regulator</w:t>
            </w:r>
          </w:p>
        </w:tc>
        <w:tc>
          <w:tcPr>
            <w:tcW w:type="dxa" w:w="3135"/>
            <w:shd w:fill="EEF4FB" w:val="clear"/>
          </w:tcPr>
          <w:p>
            <w:r>
              <w:rPr>
                <w:sz w:val="19"/>
              </w:rPr>
              <w:t>VARCHAR(100)</w:t>
            </w:r>
          </w:p>
        </w:tc>
        <w:tc>
          <w:tcPr>
            <w:tcW w:type="dxa" w:w="3135"/>
            <w:shd w:fill="EEF4FB" w:val="clear"/>
          </w:tcPr>
          <w:p>
            <w:r>
              <w:rPr>
                <w:sz w:val="19"/>
              </w:rPr>
              <w:t>e.g., "CBN", "SEC", "NDIC", "FIRS"</w:t>
            </w:r>
          </w:p>
        </w:tc>
      </w:tr>
      <w:tr>
        <w:tc>
          <w:tcPr>
            <w:tcW w:type="dxa" w:w="3135"/>
          </w:tcPr>
          <w:p>
            <w:r>
              <w:rPr>
                <w:rFonts w:ascii="Courier New" w:hAnsi="Courier New"/>
                <w:color w:val="C7254E"/>
                <w:sz w:val="19"/>
              </w:rPr>
              <w:t>document_type</w:t>
            </w:r>
          </w:p>
        </w:tc>
        <w:tc>
          <w:tcPr>
            <w:tcW w:type="dxa" w:w="3135"/>
          </w:tcPr>
          <w:p>
            <w:r>
              <w:rPr>
                <w:sz w:val="19"/>
              </w:rPr>
              <w:t>VARCHAR(100)</w:t>
            </w:r>
          </w:p>
        </w:tc>
        <w:tc>
          <w:tcPr>
            <w:tcW w:type="dxa" w:w="3135"/>
          </w:tcPr>
          <w:p>
            <w:r>
              <w:rPr>
                <w:sz w:val="19"/>
              </w:rPr>
              <w:t>e.g., "Regulation", "Circular", "Act", "Guideline"</w:t>
            </w:r>
          </w:p>
        </w:tc>
      </w:tr>
      <w:tr>
        <w:tc>
          <w:tcPr>
            <w:tcW w:type="dxa" w:w="3135"/>
            <w:shd w:fill="EEF4FB" w:val="clear"/>
          </w:tcPr>
          <w:p>
            <w:r>
              <w:rPr>
                <w:rFonts w:ascii="Courier New" w:hAnsi="Courier New"/>
                <w:color w:val="C7254E"/>
                <w:sz w:val="19"/>
              </w:rPr>
              <w:t>total_pages</w:t>
            </w:r>
          </w:p>
        </w:tc>
        <w:tc>
          <w:tcPr>
            <w:tcW w:type="dxa" w:w="3135"/>
            <w:shd w:fill="EEF4FB" w:val="clear"/>
          </w:tcPr>
          <w:p>
            <w:r>
              <w:rPr>
                <w:sz w:val="19"/>
              </w:rPr>
              <w:t>INTEGER</w:t>
            </w:r>
          </w:p>
        </w:tc>
        <w:tc>
          <w:tcPr>
            <w:tcW w:type="dxa" w:w="3135"/>
            <w:shd w:fill="EEF4FB" w:val="clear"/>
          </w:tcPr>
          <w:p>
            <w:r>
              <w:rPr>
                <w:sz w:val="19"/>
              </w:rPr>
              <w:t>Total parsed pages</w:t>
            </w:r>
          </w:p>
        </w:tc>
      </w:tr>
      <w:tr>
        <w:tc>
          <w:tcPr>
            <w:tcW w:type="dxa" w:w="3135"/>
          </w:tcPr>
          <w:p>
            <w:r>
              <w:rPr>
                <w:rFonts w:ascii="Courier New" w:hAnsi="Courier New"/>
                <w:color w:val="C7254E"/>
                <w:sz w:val="19"/>
              </w:rPr>
              <w:t>chunks_ingested</w:t>
            </w:r>
          </w:p>
        </w:tc>
        <w:tc>
          <w:tcPr>
            <w:tcW w:type="dxa" w:w="3135"/>
          </w:tcPr>
          <w:p>
            <w:r>
              <w:rPr>
                <w:sz w:val="19"/>
              </w:rPr>
              <w:t>INTEGER</w:t>
            </w:r>
          </w:p>
        </w:tc>
        <w:tc>
          <w:tcPr>
            <w:tcW w:type="dxa" w:w="3135"/>
          </w:tcPr>
          <w:p>
            <w:r>
              <w:rPr>
                <w:sz w:val="19"/>
              </w:rPr>
              <w:t>Number of semantic chunks stored in Qdrant</w:t>
            </w:r>
          </w:p>
        </w:tc>
      </w:tr>
      <w:tr>
        <w:tc>
          <w:tcPr>
            <w:tcW w:type="dxa" w:w="3135"/>
            <w:shd w:fill="EEF4FB" w:val="clear"/>
          </w:tcPr>
          <w:p>
            <w:r>
              <w:rPr>
                <w:rFonts w:ascii="Courier New" w:hAnsi="Courier New"/>
                <w:color w:val="C7254E"/>
                <w:sz w:val="19"/>
              </w:rPr>
              <w:t>ingested_at</w:t>
            </w:r>
          </w:p>
        </w:tc>
        <w:tc>
          <w:tcPr>
            <w:tcW w:type="dxa" w:w="3135"/>
            <w:shd w:fill="EEF4FB" w:val="clear"/>
          </w:tcPr>
          <w:p>
            <w:r>
              <w:rPr>
                <w:sz w:val="19"/>
              </w:rPr>
              <w:t>TIMESTAMPTZ</w:t>
            </w:r>
          </w:p>
        </w:tc>
        <w:tc>
          <w:tcPr>
            <w:tcW w:type="dxa" w:w="3135"/>
            <w:shd w:fill="EEF4FB" w:val="clear"/>
          </w:tcPr>
          <w:p>
            <w:r>
              <w:rPr>
                <w:sz w:val="19"/>
              </w:rPr>
              <w:t>UTC timestamp of ingestion</w:t>
            </w:r>
          </w:p>
        </w:tc>
      </w:tr>
      <w:tr>
        <w:tc>
          <w:tcPr>
            <w:tcW w:type="dxa" w:w="3135"/>
          </w:tcPr>
          <w:p>
            <w:r>
              <w:rPr>
                <w:rFonts w:ascii="Courier New" w:hAnsi="Courier New"/>
                <w:color w:val="C7254E"/>
                <w:sz w:val="19"/>
              </w:rPr>
              <w:t>notes</w:t>
            </w:r>
          </w:p>
        </w:tc>
        <w:tc>
          <w:tcPr>
            <w:tcW w:type="dxa" w:w="3135"/>
          </w:tcPr>
          <w:p>
            <w:r>
              <w:rPr>
                <w:sz w:val="19"/>
              </w:rPr>
              <w:t>TEXT</w:t>
            </w:r>
          </w:p>
        </w:tc>
        <w:tc>
          <w:tcPr>
            <w:tcW w:type="dxa" w:w="3135"/>
          </w:tcPr>
          <w:p>
            <w:r>
              <w:rPr>
                <w:sz w:val="19"/>
              </w:rPr>
              <w:t>Optional operator notes</w:t>
            </w:r>
          </w:p>
        </w:tc>
      </w:tr>
    </w:tbl>
    <w:p/>
    <w:p>
      <w:pPr>
        <w:pStyle w:val="Heading4"/>
      </w:pPr>
      <w:r>
        <w:t>Table: `audit_records`</w:t>
      </w:r>
    </w:p>
    <w:p>
      <w:pPr>
        <w:spacing w:after="120"/>
      </w:pPr>
      <w:r>
        <w:t>Stores the complete state of every workflow execution for auditability.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Column</w:t>
            </w:r>
          </w:p>
        </w:tc>
        <w:tc>
          <w:tcPr>
            <w:tcW w:type="dxa" w:w="3135"/>
            <w:shd w:fill="1E569A" w:val="clear"/>
          </w:tcPr>
          <w:p>
            <w:r>
              <w:rPr>
                <w:b/>
                <w:color w:val="FFFFFF"/>
                <w:sz w:val="19"/>
              </w:rPr>
              <w:t>Type</w:t>
            </w:r>
          </w:p>
        </w:tc>
        <w:tc>
          <w:tcPr>
            <w:tcW w:type="dxa" w:w="3135"/>
            <w:shd w:fill="1E569A" w:val="clear"/>
          </w:tcPr>
          <w:p>
            <w:r>
              <w:rPr>
                <w:b/>
                <w:color w:val="FFFFFF"/>
                <w:sz w:val="19"/>
              </w:rPr>
              <w:t>Description</w:t>
            </w:r>
          </w:p>
        </w:tc>
      </w:tr>
      <w:tr>
        <w:tc>
          <w:tcPr>
            <w:tcW w:type="dxa" w:w="3135"/>
          </w:tcPr>
          <w:p>
            <w:r>
              <w:rPr>
                <w:rFonts w:ascii="Courier New" w:hAnsi="Courier New"/>
                <w:color w:val="C7254E"/>
                <w:sz w:val="19"/>
              </w:rPr>
              <w:t>id</w:t>
            </w:r>
          </w:p>
        </w:tc>
        <w:tc>
          <w:tcPr>
            <w:tcW w:type="dxa" w:w="3135"/>
          </w:tcPr>
          <w:p>
            <w:r>
              <w:rPr>
                <w:sz w:val="19"/>
              </w:rPr>
              <w:t>UUID PRIMARY KEY</w:t>
            </w:r>
          </w:p>
        </w:tc>
        <w:tc>
          <w:tcPr>
            <w:tcW w:type="dxa" w:w="3135"/>
          </w:tcPr>
          <w:p>
            <w:r>
              <w:rPr>
                <w:sz w:val="19"/>
              </w:rPr>
              <w:t xml:space="preserve">Auto-generated UUID — returned to callers as </w:t>
            </w:r>
            <w:r>
              <w:rPr>
                <w:rFonts w:ascii="Courier New" w:hAnsi="Courier New"/>
                <w:color w:val="C7254E"/>
                <w:sz w:val="19"/>
              </w:rPr>
              <w:t>audit_id</w:t>
            </w:r>
          </w:p>
        </w:tc>
      </w:tr>
      <w:tr>
        <w:tc>
          <w:tcPr>
            <w:tcW w:type="dxa" w:w="3135"/>
            <w:shd w:fill="EEF4FB" w:val="clear"/>
          </w:tcPr>
          <w:p>
            <w:r>
              <w:rPr>
                <w:rFonts w:ascii="Courier New" w:hAnsi="Courier New"/>
                <w:color w:val="C7254E"/>
                <w:sz w:val="19"/>
              </w:rPr>
              <w:t>session_id</w:t>
            </w:r>
          </w:p>
        </w:tc>
        <w:tc>
          <w:tcPr>
            <w:tcW w:type="dxa" w:w="3135"/>
            <w:shd w:fill="EEF4FB" w:val="clear"/>
          </w:tcPr>
          <w:p>
            <w:r>
              <w:rPr>
                <w:sz w:val="19"/>
              </w:rPr>
              <w:t>UUID INDEX</w:t>
            </w:r>
          </w:p>
        </w:tc>
        <w:tc>
          <w:tcPr>
            <w:tcW w:type="dxa" w:w="3135"/>
            <w:shd w:fill="EEF4FB" w:val="clear"/>
          </w:tcPr>
          <w:p>
            <w:r>
              <w:rPr>
                <w:sz w:val="19"/>
              </w:rPr>
              <w:t>Links multiple analyses in one investigation</w:t>
            </w:r>
          </w:p>
        </w:tc>
      </w:tr>
      <w:tr>
        <w:tc>
          <w:tcPr>
            <w:tcW w:type="dxa" w:w="3135"/>
          </w:tcPr>
          <w:p>
            <w:r>
              <w:rPr>
                <w:rFonts w:ascii="Courier New" w:hAnsi="Courier New"/>
                <w:color w:val="C7254E"/>
                <w:sz w:val="19"/>
              </w:rPr>
              <w:t>query</w:t>
            </w:r>
          </w:p>
        </w:tc>
        <w:tc>
          <w:tcPr>
            <w:tcW w:type="dxa" w:w="3135"/>
          </w:tcPr>
          <w:p>
            <w:r>
              <w:rPr>
                <w:sz w:val="19"/>
              </w:rPr>
              <w:t>TEXT</w:t>
            </w:r>
          </w:p>
        </w:tc>
        <w:tc>
          <w:tcPr>
            <w:tcW w:type="dxa" w:w="3135"/>
          </w:tcPr>
          <w:p>
            <w:r>
              <w:rPr>
                <w:sz w:val="19"/>
              </w:rPr>
              <w:t>Original user query</w:t>
            </w:r>
          </w:p>
        </w:tc>
      </w:tr>
      <w:tr>
        <w:tc>
          <w:tcPr>
            <w:tcW w:type="dxa" w:w="3135"/>
            <w:shd w:fill="EEF4FB" w:val="clear"/>
          </w:tcPr>
          <w:p>
            <w:r>
              <w:rPr>
                <w:rFonts w:ascii="Courier New" w:hAnsi="Courier New"/>
                <w:color w:val="C7254E"/>
                <w:sz w:val="19"/>
              </w:rPr>
              <w:t>organization_context</w:t>
            </w:r>
          </w:p>
        </w:tc>
        <w:tc>
          <w:tcPr>
            <w:tcW w:type="dxa" w:w="3135"/>
            <w:shd w:fill="EEF4FB" w:val="clear"/>
          </w:tcPr>
          <w:p>
            <w:r>
              <w:rPr>
                <w:sz w:val="19"/>
              </w:rPr>
              <w:t>TEXT</w:t>
            </w:r>
          </w:p>
        </w:tc>
        <w:tc>
          <w:tcPr>
            <w:tcW w:type="dxa" w:w="3135"/>
            <w:shd w:fill="EEF4FB" w:val="clear"/>
          </w:tcPr>
          <w:p>
            <w:r>
              <w:rPr>
                <w:sz w:val="19"/>
              </w:rPr>
              <w:t>Optional business context provided by caller</w:t>
            </w:r>
          </w:p>
        </w:tc>
      </w:tr>
      <w:tr>
        <w:tc>
          <w:tcPr>
            <w:tcW w:type="dxa" w:w="3135"/>
          </w:tcPr>
          <w:p>
            <w:r>
              <w:rPr>
                <w:rFonts w:ascii="Courier New" w:hAnsi="Courier New"/>
                <w:color w:val="C7254E"/>
                <w:sz w:val="19"/>
              </w:rPr>
              <w:t>target_regulators</w:t>
            </w:r>
          </w:p>
        </w:tc>
        <w:tc>
          <w:tcPr>
            <w:tcW w:type="dxa" w:w="3135"/>
          </w:tcPr>
          <w:p>
            <w:r>
              <w:rPr>
                <w:sz w:val="19"/>
              </w:rPr>
              <w:t>JSON</w:t>
            </w:r>
          </w:p>
        </w:tc>
        <w:tc>
          <w:tcPr>
            <w:tcW w:type="dxa" w:w="3135"/>
          </w:tcPr>
          <w:p>
            <w:r>
              <w:rPr>
                <w:sz w:val="19"/>
              </w:rPr>
              <w:t>List of regulators identified by jurisdiction agent</w:t>
            </w:r>
          </w:p>
        </w:tc>
      </w:tr>
      <w:tr>
        <w:tc>
          <w:tcPr>
            <w:tcW w:type="dxa" w:w="3135"/>
            <w:shd w:fill="EEF4FB" w:val="clear"/>
          </w:tcPr>
          <w:p>
            <w:r>
              <w:rPr>
                <w:rFonts w:ascii="Courier New" w:hAnsi="Courier New"/>
                <w:color w:val="C7254E"/>
                <w:sz w:val="19"/>
              </w:rPr>
              <w:t>agent_trace</w:t>
            </w:r>
          </w:p>
        </w:tc>
        <w:tc>
          <w:tcPr>
            <w:tcW w:type="dxa" w:w="3135"/>
            <w:shd w:fill="EEF4FB" w:val="clear"/>
          </w:tcPr>
          <w:p>
            <w:r>
              <w:rPr>
                <w:sz w:val="19"/>
              </w:rPr>
              <w:t>JSON</w:t>
            </w:r>
          </w:p>
        </w:tc>
        <w:tc>
          <w:tcPr>
            <w:tcW w:type="dxa" w:w="3135"/>
            <w:shd w:fill="EEF4FB" w:val="clear"/>
          </w:tcPr>
          <w:p>
            <w:r>
              <w:rPr>
                <w:sz w:val="19"/>
              </w:rPr>
              <w:t xml:space="preserve">Ordered list of </w:t>
            </w:r>
            <w:r>
              <w:rPr>
                <w:rFonts w:ascii="Courier New" w:hAnsi="Courier New"/>
                <w:color w:val="C7254E"/>
                <w:sz w:val="19"/>
              </w:rPr>
              <w:t>{agent, status}</w:t>
            </w:r>
            <w:r>
              <w:rPr>
                <w:sz w:val="19"/>
              </w:rPr>
              <w:t xml:space="preserve"> for each node executed</w:t>
            </w:r>
          </w:p>
        </w:tc>
      </w:tr>
      <w:tr>
        <w:tc>
          <w:tcPr>
            <w:tcW w:type="dxa" w:w="3135"/>
          </w:tcPr>
          <w:p>
            <w:r>
              <w:rPr>
                <w:rFonts w:ascii="Courier New" w:hAnsi="Courier New"/>
                <w:color w:val="C7254E"/>
                <w:sz w:val="19"/>
              </w:rPr>
              <w:t>jurisdiction_result</w:t>
            </w:r>
          </w:p>
        </w:tc>
        <w:tc>
          <w:tcPr>
            <w:tcW w:type="dxa" w:w="3135"/>
          </w:tcPr>
          <w:p>
            <w:r>
              <w:rPr>
                <w:sz w:val="19"/>
              </w:rPr>
              <w:t>JSON</w:t>
            </w:r>
          </w:p>
        </w:tc>
        <w:tc>
          <w:tcPr>
            <w:tcW w:type="dxa" w:w="3135"/>
          </w:tcPr>
          <w:p>
            <w:r>
              <w:rPr>
                <w:sz w:val="19"/>
              </w:rPr>
              <w:t>Full output of the Jurisdiction Mapper agent</w:t>
            </w:r>
          </w:p>
        </w:tc>
      </w:tr>
      <w:tr>
        <w:tc>
          <w:tcPr>
            <w:tcW w:type="dxa" w:w="3135"/>
            <w:shd w:fill="EEF4FB" w:val="clear"/>
          </w:tcPr>
          <w:p>
            <w:r>
              <w:rPr>
                <w:rFonts w:ascii="Courier New" w:hAnsi="Courier New"/>
                <w:color w:val="C7254E"/>
                <w:sz w:val="19"/>
              </w:rPr>
              <w:t>reasoning_result</w:t>
            </w:r>
          </w:p>
        </w:tc>
        <w:tc>
          <w:tcPr>
            <w:tcW w:type="dxa" w:w="3135"/>
            <w:shd w:fill="EEF4FB" w:val="clear"/>
          </w:tcPr>
          <w:p>
            <w:r>
              <w:rPr>
                <w:sz w:val="19"/>
              </w:rPr>
              <w:t>JSON</w:t>
            </w:r>
          </w:p>
        </w:tc>
        <w:tc>
          <w:tcPr>
            <w:tcW w:type="dxa" w:w="3135"/>
            <w:shd w:fill="EEF4FB" w:val="clear"/>
          </w:tcPr>
          <w:p>
            <w:r>
              <w:rPr>
                <w:sz w:val="19"/>
              </w:rPr>
              <w:t>Full output of the Reasoning agent</w:t>
            </w:r>
          </w:p>
        </w:tc>
      </w:tr>
      <w:tr>
        <w:tc>
          <w:tcPr>
            <w:tcW w:type="dxa" w:w="3135"/>
          </w:tcPr>
          <w:p>
            <w:r>
              <w:rPr>
                <w:rFonts w:ascii="Courier New" w:hAnsi="Courier New"/>
                <w:color w:val="C7254E"/>
                <w:sz w:val="19"/>
              </w:rPr>
              <w:t>audit_result</w:t>
            </w:r>
          </w:p>
        </w:tc>
        <w:tc>
          <w:tcPr>
            <w:tcW w:type="dxa" w:w="3135"/>
          </w:tcPr>
          <w:p>
            <w:r>
              <w:rPr>
                <w:sz w:val="19"/>
              </w:rPr>
              <w:t>JSON</w:t>
            </w:r>
          </w:p>
        </w:tc>
        <w:tc>
          <w:tcPr>
            <w:tcW w:type="dxa" w:w="3135"/>
          </w:tcPr>
          <w:p>
            <w:r>
              <w:rPr>
                <w:sz w:val="19"/>
              </w:rPr>
              <w:t>Full output of the Auditor agent</w:t>
            </w:r>
          </w:p>
        </w:tc>
      </w:tr>
      <w:tr>
        <w:tc>
          <w:tcPr>
            <w:tcW w:type="dxa" w:w="3135"/>
            <w:shd w:fill="EEF4FB" w:val="clear"/>
          </w:tcPr>
          <w:p>
            <w:r>
              <w:rPr>
                <w:rFonts w:ascii="Courier New" w:hAnsi="Courier New"/>
                <w:color w:val="C7254E"/>
                <w:sz w:val="19"/>
              </w:rPr>
              <w:t>citation_result</w:t>
            </w:r>
          </w:p>
        </w:tc>
        <w:tc>
          <w:tcPr>
            <w:tcW w:type="dxa" w:w="3135"/>
            <w:shd w:fill="EEF4FB" w:val="clear"/>
          </w:tcPr>
          <w:p>
            <w:r>
              <w:rPr>
                <w:sz w:val="19"/>
              </w:rPr>
              <w:t>JSON</w:t>
            </w:r>
          </w:p>
        </w:tc>
        <w:tc>
          <w:tcPr>
            <w:tcW w:type="dxa" w:w="3135"/>
            <w:shd w:fill="EEF4FB" w:val="clear"/>
          </w:tcPr>
          <w:p>
            <w:r>
              <w:rPr>
                <w:sz w:val="19"/>
              </w:rPr>
              <w:t>Full output of the Citation Verifier agent</w:t>
            </w:r>
          </w:p>
        </w:tc>
      </w:tr>
      <w:tr>
        <w:tc>
          <w:tcPr>
            <w:tcW w:type="dxa" w:w="3135"/>
          </w:tcPr>
          <w:p>
            <w:r>
              <w:rPr>
                <w:rFonts w:ascii="Courier New" w:hAnsi="Courier New"/>
                <w:color w:val="C7254E"/>
                <w:sz w:val="19"/>
              </w:rPr>
              <w:t>critic_result</w:t>
            </w:r>
          </w:p>
        </w:tc>
        <w:tc>
          <w:tcPr>
            <w:tcW w:type="dxa" w:w="3135"/>
          </w:tcPr>
          <w:p>
            <w:r>
              <w:rPr>
                <w:sz w:val="19"/>
              </w:rPr>
              <w:t>JSON</w:t>
            </w:r>
          </w:p>
        </w:tc>
        <w:tc>
          <w:tcPr>
            <w:tcW w:type="dxa" w:w="3135"/>
          </w:tcPr>
          <w:p>
            <w:r>
              <w:rPr>
                <w:sz w:val="19"/>
              </w:rPr>
              <w:t>Full output of the Critic agent</w:t>
            </w:r>
          </w:p>
        </w:tc>
      </w:tr>
      <w:tr>
        <w:tc>
          <w:tcPr>
            <w:tcW w:type="dxa" w:w="3135"/>
            <w:shd w:fill="EEF4FB" w:val="clear"/>
          </w:tcPr>
          <w:p>
            <w:r>
              <w:rPr>
                <w:rFonts w:ascii="Courier New" w:hAnsi="Courier New"/>
                <w:color w:val="C7254E"/>
                <w:sz w:val="19"/>
              </w:rPr>
              <w:t>final_report</w:t>
            </w:r>
          </w:p>
        </w:tc>
        <w:tc>
          <w:tcPr>
            <w:tcW w:type="dxa" w:w="3135"/>
            <w:shd w:fill="EEF4FB" w:val="clear"/>
          </w:tcPr>
          <w:p>
            <w:r>
              <w:rPr>
                <w:sz w:val="19"/>
              </w:rPr>
              <w:t>JSON</w:t>
            </w:r>
          </w:p>
        </w:tc>
        <w:tc>
          <w:tcPr>
            <w:tcW w:type="dxa" w:w="3135"/>
            <w:shd w:fill="EEF4FB" w:val="clear"/>
          </w:tcPr>
          <w:p>
            <w:r>
              <w:rPr>
                <w:sz w:val="19"/>
              </w:rPr>
              <w:t>Assembled compliance report</w:t>
            </w:r>
          </w:p>
        </w:tc>
      </w:tr>
      <w:tr>
        <w:tc>
          <w:tcPr>
            <w:tcW w:type="dxa" w:w="3135"/>
          </w:tcPr>
          <w:p>
            <w:r>
              <w:rPr>
                <w:rFonts w:ascii="Courier New" w:hAnsi="Courier New"/>
                <w:color w:val="C7254E"/>
                <w:sz w:val="19"/>
              </w:rPr>
              <w:t>overall_risk_level</w:t>
            </w:r>
          </w:p>
        </w:tc>
        <w:tc>
          <w:tcPr>
            <w:tcW w:type="dxa" w:w="3135"/>
          </w:tcPr>
          <w:p>
            <w:r>
              <w:rPr>
                <w:sz w:val="19"/>
              </w:rPr>
              <w:t>VARCHAR(20)</w:t>
            </w:r>
          </w:p>
        </w:tc>
        <w:tc>
          <w:tcPr>
            <w:tcW w:type="dxa" w:w="3135"/>
          </w:tcPr>
          <w:p>
            <w:r>
              <w:rPr>
                <w:sz w:val="19"/>
              </w:rPr>
              <w:t>CRITICAL / HIGH / MEDIUM / LOW</w:t>
            </w:r>
          </w:p>
        </w:tc>
      </w:tr>
      <w:tr>
        <w:tc>
          <w:tcPr>
            <w:tcW w:type="dxa" w:w="3135"/>
            <w:shd w:fill="EEF4FB" w:val="clear"/>
          </w:tcPr>
          <w:p>
            <w:r>
              <w:rPr>
                <w:rFonts w:ascii="Courier New" w:hAnsi="Courier New"/>
                <w:color w:val="C7254E"/>
                <w:sz w:val="19"/>
              </w:rPr>
              <w:t>hallucination_risk</w:t>
            </w:r>
          </w:p>
        </w:tc>
        <w:tc>
          <w:tcPr>
            <w:tcW w:type="dxa" w:w="3135"/>
            <w:shd w:fill="EEF4FB" w:val="clear"/>
          </w:tcPr>
          <w:p>
            <w:r>
              <w:rPr>
                <w:sz w:val="19"/>
              </w:rPr>
              <w:t>VARCHAR(20)</w:t>
            </w:r>
          </w:p>
        </w:tc>
        <w:tc>
          <w:tcPr>
            <w:tcW w:type="dxa" w:w="3135"/>
            <w:shd w:fill="EEF4FB" w:val="clear"/>
          </w:tcPr>
          <w:p>
            <w:r>
              <w:rPr>
                <w:sz w:val="19"/>
              </w:rPr>
              <w:t>NONE / LOW / MEDIUM / HIGH</w:t>
            </w:r>
          </w:p>
        </w:tc>
      </w:tr>
      <w:tr>
        <w:tc>
          <w:tcPr>
            <w:tcW w:type="dxa" w:w="3135"/>
          </w:tcPr>
          <w:p>
            <w:r>
              <w:rPr>
                <w:rFonts w:ascii="Courier New" w:hAnsi="Courier New"/>
                <w:color w:val="C7254E"/>
                <w:sz w:val="19"/>
              </w:rPr>
              <w:t>grounding_score</w:t>
            </w:r>
          </w:p>
        </w:tc>
        <w:tc>
          <w:tcPr>
            <w:tcW w:type="dxa" w:w="3135"/>
          </w:tcPr>
          <w:p>
            <w:r>
              <w:rPr>
                <w:sz w:val="19"/>
              </w:rPr>
              <w:t>INTEGER</w:t>
            </w:r>
          </w:p>
        </w:tc>
        <w:tc>
          <w:tcPr>
            <w:tcW w:type="dxa" w:w="3135"/>
          </w:tcPr>
          <w:p>
            <w:r>
              <w:rPr>
                <w:sz w:val="19"/>
              </w:rPr>
              <w:t>% of claims verified by Citation agent (0–100)</w:t>
            </w:r>
          </w:p>
        </w:tc>
      </w:tr>
      <w:tr>
        <w:tc>
          <w:tcPr>
            <w:tcW w:type="dxa" w:w="3135"/>
            <w:shd w:fill="EEF4FB" w:val="clear"/>
          </w:tcPr>
          <w:p>
            <w:r>
              <w:rPr>
                <w:rFonts w:ascii="Courier New" w:hAnsi="Courier New"/>
                <w:color w:val="C7254E"/>
                <w:sz w:val="19"/>
              </w:rPr>
              <w:t>iteration_count</w:t>
            </w:r>
          </w:p>
        </w:tc>
        <w:tc>
          <w:tcPr>
            <w:tcW w:type="dxa" w:w="3135"/>
            <w:shd w:fill="EEF4FB" w:val="clear"/>
          </w:tcPr>
          <w:p>
            <w:r>
              <w:rPr>
                <w:sz w:val="19"/>
              </w:rPr>
              <w:t>INTEGER</w:t>
            </w:r>
          </w:p>
        </w:tc>
        <w:tc>
          <w:tcPr>
            <w:tcW w:type="dxa" w:w="3135"/>
            <w:shd w:fill="EEF4FB" w:val="clear"/>
          </w:tcPr>
          <w:p>
            <w:r>
              <w:rPr>
                <w:sz w:val="19"/>
              </w:rPr>
              <w:t>How many critic–reasoning loops occurred</w:t>
            </w:r>
          </w:p>
        </w:tc>
      </w:tr>
      <w:tr>
        <w:tc>
          <w:tcPr>
            <w:tcW w:type="dxa" w:w="3135"/>
          </w:tcPr>
          <w:p>
            <w:r>
              <w:rPr>
                <w:rFonts w:ascii="Courier New" w:hAnsi="Courier New"/>
                <w:color w:val="C7254E"/>
                <w:sz w:val="19"/>
              </w:rPr>
              <w:t>status</w:t>
            </w:r>
          </w:p>
        </w:tc>
        <w:tc>
          <w:tcPr>
            <w:tcW w:type="dxa" w:w="3135"/>
          </w:tcPr>
          <w:p>
            <w:r>
              <w:rPr>
                <w:sz w:val="19"/>
              </w:rPr>
              <w:t>VARCHAR(20)</w:t>
            </w:r>
          </w:p>
        </w:tc>
        <w:tc>
          <w:tcPr>
            <w:tcW w:type="dxa" w:w="3135"/>
          </w:tcPr>
          <w:p>
            <w:r>
              <w:rPr>
                <w:sz w:val="19"/>
              </w:rPr>
              <w:t>Always "COMPLETED" in current implementation</w:t>
            </w:r>
          </w:p>
        </w:tc>
      </w:tr>
      <w:tr>
        <w:tc>
          <w:tcPr>
            <w:tcW w:type="dxa" w:w="3135"/>
            <w:shd w:fill="EEF4FB" w:val="clear"/>
          </w:tcPr>
          <w:p>
            <w:r>
              <w:rPr>
                <w:rFonts w:ascii="Courier New" w:hAnsi="Courier New"/>
                <w:color w:val="C7254E"/>
                <w:sz w:val="19"/>
              </w:rPr>
              <w:t>duration_ms</w:t>
            </w:r>
          </w:p>
        </w:tc>
        <w:tc>
          <w:tcPr>
            <w:tcW w:type="dxa" w:w="3135"/>
            <w:shd w:fill="EEF4FB" w:val="clear"/>
          </w:tcPr>
          <w:p>
            <w:r>
              <w:rPr>
                <w:sz w:val="19"/>
              </w:rPr>
              <w:t>INTEGER</w:t>
            </w:r>
          </w:p>
        </w:tc>
        <w:tc>
          <w:tcPr>
            <w:tcW w:type="dxa" w:w="3135"/>
            <w:shd w:fill="EEF4FB" w:val="clear"/>
          </w:tcPr>
          <w:p>
            <w:r>
              <w:rPr>
                <w:sz w:val="19"/>
              </w:rPr>
              <w:t>End-to-end workflow duration in milliseconds</w:t>
            </w:r>
          </w:p>
        </w:tc>
      </w:tr>
      <w:tr>
        <w:tc>
          <w:tcPr>
            <w:tcW w:type="dxa" w:w="3135"/>
          </w:tcPr>
          <w:p>
            <w:r>
              <w:rPr>
                <w:rFonts w:ascii="Courier New" w:hAnsi="Courier New"/>
                <w:color w:val="C7254E"/>
                <w:sz w:val="19"/>
              </w:rPr>
              <w:t>created_at</w:t>
            </w:r>
          </w:p>
        </w:tc>
        <w:tc>
          <w:tcPr>
            <w:tcW w:type="dxa" w:w="3135"/>
          </w:tcPr>
          <w:p>
            <w:r>
              <w:rPr>
                <w:sz w:val="19"/>
              </w:rPr>
              <w:t>TIMESTAMPTZ</w:t>
            </w:r>
          </w:p>
        </w:tc>
        <w:tc>
          <w:tcPr>
            <w:tcW w:type="dxa" w:w="3135"/>
          </w:tcPr>
          <w:p>
            <w:r>
              <w:rPr>
                <w:sz w:val="19"/>
              </w:rPr>
              <w:t>Server-generated UTC timestamp</w:t>
            </w:r>
          </w:p>
        </w:tc>
      </w:tr>
    </w:tbl>
    <w:p/>
    <w:p>
      <w:pPr>
        <w:pStyle w:val="Heading4"/>
      </w:pPr>
      <w:r>
        <w:t>Entity Relationship</w:t>
      </w:r>
    </w:p>
    <w:p>
      <w:pPr>
        <w:spacing w:before="80" w:after="80"/>
        <w:ind w:left="432"/>
        <w:shd w:fill="F0F4F8" w:val="clear"/>
      </w:pPr>
      <w:r>
        <w:rPr>
          <w:rFonts w:ascii="Courier New" w:hAnsi="Courier New"/>
          <w:color w:val="1F1F1F"/>
          <w:sz w:val="17"/>
        </w:rPr>
        <w:t>documents (1) ←——————————————— (many) [Qdrant vectors]</w:t>
        <w:br/>
        <w:t xml:space="preserve">                                        (linked by source filename in payload)</w:t>
        <w:br/>
        <w:br/>
        <w:t>audit_records (many) ——————————— (1) session_id</w:t>
        <w:br/>
        <w:t xml:space="preserve">                                        (UUID used to group related analyses)</w:t>
      </w:r>
    </w:p>
    <w:p>
      <w:pPr>
        <w:pStyle w:val="Heading3"/>
      </w:pPr>
      <w:r>
        <w:t>Qdrant Schema</w:t>
      </w:r>
    </w:p>
    <w:p>
      <w:pPr>
        <w:spacing w:after="120"/>
      </w:pPr>
      <w:r>
        <w:rPr>
          <w:b/>
        </w:rPr>
        <w:t>Collection name</w:t>
      </w:r>
      <w:r>
        <w:t xml:space="preserve">: </w:t>
      </w:r>
      <w:r>
        <w:rPr>
          <w:rFonts w:ascii="Courier New" w:hAnsi="Courier New"/>
          <w:color w:val="C7254E"/>
          <w:sz w:val="18"/>
        </w:rPr>
        <w:t>regulations</w:t>
      </w:r>
    </w:p>
    <w:p>
      <w:pPr>
        <w:spacing w:after="120"/>
      </w:pPr>
      <w:r>
        <w:rPr>
          <w:b/>
        </w:rPr>
        <w:t>Vector configuration</w:t>
      </w:r>
      <w:r>
        <w:t>:</w:t>
      </w:r>
    </w:p>
    <w:p>
      <w:pPr>
        <w:pStyle w:val="ListBullet"/>
      </w:pPr>
      <w:r>
        <w:rPr>
          <w:rFonts w:ascii="Courier New" w:hAnsi="Courier New"/>
          <w:color w:val="C7254E"/>
          <w:sz w:val="18"/>
        </w:rPr>
        <w:t>"dense"</w:t>
      </w:r>
      <w:r>
        <w:t>: 768-dimensional cosine similarity (BAAI/bge-base-en-v1.5 output)</w:t>
      </w:r>
    </w:p>
    <w:p>
      <w:pPr>
        <w:pStyle w:val="ListBullet"/>
      </w:pPr>
      <w:r>
        <w:rPr>
          <w:rFonts w:ascii="Courier New" w:hAnsi="Courier New"/>
          <w:color w:val="C7254E"/>
          <w:sz w:val="18"/>
        </w:rPr>
        <w:t>"sparse"</w:t>
      </w:r>
      <w:r>
        <w:t>: BM25 sparse vectors (Qdrant/bm25 via fastembed)</w:t>
      </w:r>
    </w:p>
    <w:p>
      <w:pPr>
        <w:spacing w:after="120"/>
      </w:pPr>
      <w:r>
        <w:rPr>
          <w:b/>
        </w:rPr>
        <w:t>Point payload</w:t>
      </w:r>
      <w:r>
        <w:t xml:space="preserve"> (stored per chunk):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Field</w:t>
            </w:r>
          </w:p>
        </w:tc>
        <w:tc>
          <w:tcPr>
            <w:tcW w:type="dxa" w:w="3135"/>
            <w:shd w:fill="1E569A" w:val="clear"/>
          </w:tcPr>
          <w:p>
            <w:r>
              <w:rPr>
                <w:b/>
                <w:color w:val="FFFFFF"/>
                <w:sz w:val="19"/>
              </w:rPr>
              <w:t>Type</w:t>
            </w:r>
          </w:p>
        </w:tc>
        <w:tc>
          <w:tcPr>
            <w:tcW w:type="dxa" w:w="3135"/>
            <w:shd w:fill="1E569A" w:val="clear"/>
          </w:tcPr>
          <w:p>
            <w:r>
              <w:rPr>
                <w:b/>
                <w:color w:val="FFFFFF"/>
                <w:sz w:val="19"/>
              </w:rPr>
              <w:t>Description</w:t>
            </w:r>
          </w:p>
        </w:tc>
      </w:tr>
      <w:tr>
        <w:tc>
          <w:tcPr>
            <w:tcW w:type="dxa" w:w="3135"/>
          </w:tcPr>
          <w:p>
            <w:r>
              <w:rPr>
                <w:rFonts w:ascii="Courier New" w:hAnsi="Courier New"/>
                <w:color w:val="C7254E"/>
                <w:sz w:val="19"/>
              </w:rPr>
              <w:t>text</w:t>
            </w:r>
          </w:p>
        </w:tc>
        <w:tc>
          <w:tcPr>
            <w:tcW w:type="dxa" w:w="3135"/>
          </w:tcPr>
          <w:p>
            <w:r>
              <w:rPr>
                <w:sz w:val="19"/>
              </w:rPr>
              <w:t>string</w:t>
            </w:r>
          </w:p>
        </w:tc>
        <w:tc>
          <w:tcPr>
            <w:tcW w:type="dxa" w:w="3135"/>
          </w:tcPr>
          <w:p>
            <w:r>
              <w:rPr>
                <w:sz w:val="19"/>
              </w:rPr>
              <w:t>The regulation text content</w:t>
            </w:r>
          </w:p>
        </w:tc>
      </w:tr>
      <w:tr>
        <w:tc>
          <w:tcPr>
            <w:tcW w:type="dxa" w:w="3135"/>
            <w:shd w:fill="EEF4FB" w:val="clear"/>
          </w:tcPr>
          <w:p>
            <w:r>
              <w:rPr>
                <w:rFonts w:ascii="Courier New" w:hAnsi="Courier New"/>
                <w:color w:val="C7254E"/>
                <w:sz w:val="19"/>
              </w:rPr>
              <w:t>source</w:t>
            </w:r>
          </w:p>
        </w:tc>
        <w:tc>
          <w:tcPr>
            <w:tcW w:type="dxa" w:w="3135"/>
            <w:shd w:fill="EEF4FB" w:val="clear"/>
          </w:tcPr>
          <w:p>
            <w:r>
              <w:rPr>
                <w:sz w:val="19"/>
              </w:rPr>
              <w:t>string</w:t>
            </w:r>
          </w:p>
        </w:tc>
        <w:tc>
          <w:tcPr>
            <w:tcW w:type="dxa" w:w="3135"/>
            <w:shd w:fill="EEF4FB" w:val="clear"/>
          </w:tcPr>
          <w:p>
            <w:r>
              <w:rPr>
                <w:sz w:val="19"/>
              </w:rPr>
              <w:t>PDF filename</w:t>
            </w:r>
          </w:p>
        </w:tc>
      </w:tr>
      <w:tr>
        <w:tc>
          <w:tcPr>
            <w:tcW w:type="dxa" w:w="3135"/>
          </w:tcPr>
          <w:p>
            <w:r>
              <w:rPr>
                <w:rFonts w:ascii="Courier New" w:hAnsi="Courier New"/>
                <w:color w:val="C7254E"/>
                <w:sz w:val="19"/>
              </w:rPr>
              <w:t>page</w:t>
            </w:r>
          </w:p>
        </w:tc>
        <w:tc>
          <w:tcPr>
            <w:tcW w:type="dxa" w:w="3135"/>
          </w:tcPr>
          <w:p>
            <w:r>
              <w:rPr>
                <w:sz w:val="19"/>
              </w:rPr>
              <w:t>integer</w:t>
            </w:r>
          </w:p>
        </w:tc>
        <w:tc>
          <w:tcPr>
            <w:tcW w:type="dxa" w:w="3135"/>
          </w:tcPr>
          <w:p>
            <w:r>
              <w:rPr>
                <w:sz w:val="19"/>
              </w:rPr>
              <w:t>1-based page number</w:t>
            </w:r>
          </w:p>
        </w:tc>
      </w:tr>
      <w:tr>
        <w:tc>
          <w:tcPr>
            <w:tcW w:type="dxa" w:w="3135"/>
            <w:shd w:fill="EEF4FB" w:val="clear"/>
          </w:tcPr>
          <w:p>
            <w:r>
              <w:rPr>
                <w:rFonts w:ascii="Courier New" w:hAnsi="Courier New"/>
                <w:color w:val="C7254E"/>
                <w:sz w:val="19"/>
              </w:rPr>
              <w:t>section</w:t>
            </w:r>
          </w:p>
        </w:tc>
        <w:tc>
          <w:tcPr>
            <w:tcW w:type="dxa" w:w="3135"/>
            <w:shd w:fill="EEF4FB" w:val="clear"/>
          </w:tcPr>
          <w:p>
            <w:r>
              <w:rPr>
                <w:sz w:val="19"/>
              </w:rPr>
              <w:t>string</w:t>
            </w:r>
          </w:p>
        </w:tc>
        <w:tc>
          <w:tcPr>
            <w:tcW w:type="dxa" w:w="3135"/>
            <w:shd w:fill="EEF4FB" w:val="clear"/>
          </w:tcPr>
          <w:p>
            <w:r>
              <w:rPr>
                <w:sz w:val="19"/>
              </w:rPr>
              <w:t>Section identifier (e.g., "PART FOUR", "4.1")</w:t>
            </w:r>
          </w:p>
        </w:tc>
      </w:tr>
      <w:tr>
        <w:tc>
          <w:tcPr>
            <w:tcW w:type="dxa" w:w="3135"/>
          </w:tcPr>
          <w:p>
            <w:r>
              <w:rPr>
                <w:rFonts w:ascii="Courier New" w:hAnsi="Courier New"/>
                <w:color w:val="C7254E"/>
                <w:sz w:val="19"/>
              </w:rPr>
              <w:t>title</w:t>
            </w:r>
          </w:p>
        </w:tc>
        <w:tc>
          <w:tcPr>
            <w:tcW w:type="dxa" w:w="3135"/>
          </w:tcPr>
          <w:p>
            <w:r>
              <w:rPr>
                <w:sz w:val="19"/>
              </w:rPr>
              <w:t>string</w:t>
            </w:r>
          </w:p>
        </w:tc>
        <w:tc>
          <w:tcPr>
            <w:tcW w:type="dxa" w:w="3135"/>
          </w:tcPr>
          <w:p>
            <w:r>
              <w:rPr>
                <w:sz w:val="19"/>
              </w:rPr>
              <w:t>Section title text</w:t>
            </w:r>
          </w:p>
        </w:tc>
      </w:tr>
      <w:tr>
        <w:tc>
          <w:tcPr>
            <w:tcW w:type="dxa" w:w="3135"/>
            <w:shd w:fill="EEF4FB" w:val="clear"/>
          </w:tcPr>
          <w:p>
            <w:r>
              <w:rPr>
                <w:rFonts w:ascii="Courier New" w:hAnsi="Courier New"/>
                <w:color w:val="C7254E"/>
                <w:sz w:val="19"/>
              </w:rPr>
              <w:t>hierarchy</w:t>
            </w:r>
          </w:p>
        </w:tc>
        <w:tc>
          <w:tcPr>
            <w:tcW w:type="dxa" w:w="3135"/>
            <w:shd w:fill="EEF4FB" w:val="clear"/>
          </w:tcPr>
          <w:p>
            <w:r>
              <w:rPr>
                <w:sz w:val="19"/>
              </w:rPr>
              <w:t>list[string]</w:t>
            </w:r>
          </w:p>
        </w:tc>
        <w:tc>
          <w:tcPr>
            <w:tcW w:type="dxa" w:w="3135"/>
            <w:shd w:fill="EEF4FB" w:val="clear"/>
          </w:tcPr>
          <w:p>
            <w:r>
              <w:rPr>
                <w:sz w:val="19"/>
              </w:rPr>
              <w:t>Breadcrumb path (e.g., ["PART TWO", "3.1 GENERAL PROVISIONS"])</w:t>
            </w:r>
          </w:p>
        </w:tc>
      </w:tr>
      <w:tr>
        <w:tc>
          <w:tcPr>
            <w:tcW w:type="dxa" w:w="3135"/>
          </w:tcPr>
          <w:p>
            <w:r>
              <w:rPr>
                <w:rFonts w:ascii="Courier New" w:hAnsi="Courier New"/>
                <w:color w:val="C7254E"/>
                <w:sz w:val="19"/>
              </w:rPr>
              <w:t>regulator</w:t>
            </w:r>
          </w:p>
        </w:tc>
        <w:tc>
          <w:tcPr>
            <w:tcW w:type="dxa" w:w="3135"/>
          </w:tcPr>
          <w:p>
            <w:r>
              <w:rPr>
                <w:sz w:val="19"/>
              </w:rPr>
              <w:t>string</w:t>
            </w:r>
          </w:p>
        </w:tc>
        <w:tc>
          <w:tcPr>
            <w:tcW w:type="dxa" w:w="3135"/>
          </w:tcPr>
          <w:p>
            <w:r>
              <w:rPr>
                <w:sz w:val="19"/>
              </w:rPr>
              <w:t>e.g., "CBN" — used for metadata filtering</w:t>
            </w:r>
          </w:p>
        </w:tc>
      </w:tr>
      <w:tr>
        <w:tc>
          <w:tcPr>
            <w:tcW w:type="dxa" w:w="3135"/>
            <w:shd w:fill="EEF4FB" w:val="clear"/>
          </w:tcPr>
          <w:p>
            <w:r>
              <w:rPr>
                <w:rFonts w:ascii="Courier New" w:hAnsi="Courier New"/>
                <w:color w:val="C7254E"/>
                <w:sz w:val="19"/>
              </w:rPr>
              <w:t>document_type</w:t>
            </w:r>
          </w:p>
        </w:tc>
        <w:tc>
          <w:tcPr>
            <w:tcW w:type="dxa" w:w="3135"/>
            <w:shd w:fill="EEF4FB" w:val="clear"/>
          </w:tcPr>
          <w:p>
            <w:r>
              <w:rPr>
                <w:sz w:val="19"/>
              </w:rPr>
              <w:t>string</w:t>
            </w:r>
          </w:p>
        </w:tc>
        <w:tc>
          <w:tcPr>
            <w:tcW w:type="dxa" w:w="3135"/>
            <w:shd w:fill="EEF4FB" w:val="clear"/>
          </w:tcPr>
          <w:p>
            <w:r>
              <w:rPr>
                <w:sz w:val="19"/>
              </w:rPr>
              <w:t>e.g., "Regulation", "Circular" — used for filtering</w:t>
            </w:r>
          </w:p>
        </w:tc>
      </w:tr>
      <w:tr>
        <w:tc>
          <w:tcPr>
            <w:tcW w:type="dxa" w:w="3135"/>
          </w:tcPr>
          <w:p>
            <w:r>
              <w:rPr>
                <w:rFonts w:ascii="Courier New" w:hAnsi="Courier New"/>
                <w:color w:val="C7254E"/>
                <w:sz w:val="19"/>
              </w:rPr>
              <w:t>issued_date</w:t>
            </w:r>
          </w:p>
        </w:tc>
        <w:tc>
          <w:tcPr>
            <w:tcW w:type="dxa" w:w="3135"/>
          </w:tcPr>
          <w:p>
            <w:r>
              <w:rPr>
                <w:sz w:val="19"/>
              </w:rPr>
              <w:t>string</w:t>
            </w:r>
          </w:p>
        </w:tc>
        <w:tc>
          <w:tcPr>
            <w:tcW w:type="dxa" w:w="3135"/>
          </w:tcPr>
          <w:p>
            <w:r>
              <w:rPr>
                <w:sz w:val="19"/>
              </w:rPr>
              <w:t>ISO date for freshness scoring</w:t>
            </w:r>
          </w:p>
        </w:tc>
      </w:tr>
    </w:tbl>
    <w:p/>
    <w:p>
      <w:pPr>
        <w:spacing w:after="120"/>
      </w:pPr>
      <w:r>
        <w:rPr>
          <w:b/>
        </w:rPr>
        <w:t>Point ID strategy</w:t>
      </w:r>
      <w:r>
        <w:t xml:space="preserve">: Deterministic MD5-based UUID from </w:t>
      </w:r>
      <w:r>
        <w:rPr>
          <w:rFonts w:ascii="Courier New" w:hAnsi="Courier New"/>
          <w:color w:val="C7254E"/>
          <w:sz w:val="18"/>
        </w:rPr>
        <w:t>{document_name}::{chunk_index}</w:t>
      </w:r>
      <w:r>
        <w:t xml:space="preserve"> — re-ingesting the same document overwrites rather than duplicates.</w:t>
      </w:r>
    </w:p>
    <w:p>
      <w:pPr>
        <w:pStyle w:val="Heading3"/>
      </w:pPr>
      <w:r>
        <w:t>Data Lifecycle</w:t>
      </w:r>
    </w:p>
    <w:p>
      <w:pPr>
        <w:spacing w:before="80" w:after="80"/>
        <w:ind w:left="432"/>
        <w:shd w:fill="F0F4F8" w:val="clear"/>
      </w:pPr>
      <w:r>
        <w:rPr>
          <w:rFonts w:ascii="Courier New" w:hAnsi="Courier New"/>
          <w:color w:val="1F1F1F"/>
          <w:sz w:val="17"/>
        </w:rPr>
        <w:t>PDF Upload</w:t>
        <w:br/>
        <w:t xml:space="preserve">    │</w:t>
        <w:br/>
        <w:t xml:space="preserve">    ▼</w:t>
        <w:br/>
        <w:t>parse_document() ──── PyMuPDF primary, pdfplumber for tables, Tesseract for images</w:t>
        <w:br/>
        <w:t xml:space="preserve">    │</w:t>
        <w:br/>
        <w:t xml:space="preserve">    ▼</w:t>
        <w:br/>
        <w:t>chunk_document() ──── Section-aware chunking preserving section numbers + hierarchy</w:t>
        <w:br/>
        <w:t xml:space="preserve">    │</w:t>
        <w:br/>
        <w:t xml:space="preserve">    ▼</w:t>
        <w:br/>
        <w:t>embed_texts() ──────── BAAI/bge-base-en-v1.5 dense vectors (batch 32)</w:t>
        <w:br/>
        <w:t xml:space="preserve">    │</w:t>
        <w:br/>
        <w:t xml:space="preserve">    ▼</w:t>
        <w:br/>
        <w:t>sparse embed() ──────── Qdrant/bm25 sparse BM25 vectors</w:t>
        <w:br/>
        <w:t xml:space="preserve">    │</w:t>
        <w:br/>
        <w:t xml:space="preserve">    ▼</w:t>
        <w:br/>
        <w:t>VectorRepository.upsert() ──── Qdrant write (deterministic IDs)</w:t>
        <w:br/>
        <w:t xml:space="preserve">    │</w:t>
        <w:br/>
        <w:t xml:space="preserve">    ▼</w:t>
        <w:br/>
        <w:t>DocumentRepository.save() ──── PostgreSQL document registry entry</w:t>
      </w:r>
    </w:p>
    <w:p>
      <w:pPr>
        <w:pStyle w:val="Heading3"/>
      </w:pPr>
      <w:r>
        <w:t>Migration Strategy</w:t>
      </w:r>
    </w:p>
    <w:p>
      <w:pPr>
        <w:spacing w:after="120"/>
      </w:pPr>
      <w:r>
        <w:t xml:space="preserve">Currently: </w:t>
      </w:r>
      <w:r>
        <w:rPr>
          <w:rFonts w:ascii="Courier New" w:hAnsi="Courier New"/>
          <w:color w:val="C7254E"/>
          <w:sz w:val="18"/>
        </w:rPr>
        <w:t>Base.metadata.create_all</w:t>
      </w:r>
      <w:r>
        <w:t xml:space="preserve"> on startup creates tables if they do not exist.</w:t>
      </w:r>
    </w:p>
    <w:p>
      <w:pPr>
        <w:spacing w:after="120"/>
      </w:pPr>
      <w:r>
        <w:rPr>
          <w:b/>
        </w:rPr>
        <w:t>Production recommendation</w:t>
      </w:r>
      <w:r>
        <w:t xml:space="preserve">: Migrate to Alembic (already in </w:t>
      </w:r>
      <w:r>
        <w:rPr>
          <w:rFonts w:ascii="Courier New" w:hAnsi="Courier New"/>
          <w:color w:val="C7254E"/>
          <w:sz w:val="18"/>
        </w:rPr>
        <w:t>pyproject.toml</w:t>
      </w:r>
      <w:r>
        <w:t xml:space="preserve"> dependencies) for versioned schema migrations. Scripts in </w:t>
      </w:r>
      <w:r>
        <w:rPr>
          <w:rFonts w:ascii="Courier New" w:hAnsi="Courier New"/>
          <w:color w:val="C7254E"/>
          <w:sz w:val="18"/>
        </w:rPr>
        <w:t>alembic/versions/</w:t>
      </w:r>
      <w:r>
        <w:t xml:space="preserve"> would replace the </w:t>
      </w:r>
      <w:r>
        <w:rPr>
          <w:rFonts w:ascii="Courier New" w:hAnsi="Courier New"/>
          <w:color w:val="C7254E"/>
          <w:sz w:val="18"/>
        </w:rPr>
        <w:t>create_all</w:t>
      </w:r>
      <w:r>
        <w:t xml:space="preserve"> call.</w:t>
      </w:r>
    </w:p>
    <w:p>
      <w:pPr>
        <w:pBdr>
          <w:bottom w:val="single" w:sz="4" w:space="1" w:color="CCCCCC"/>
        </w:pBdr>
      </w:pPr>
    </w:p>
    <w:p>
      <w:pPr>
        <w:pStyle w:val="Heading2"/>
      </w:pPr>
      <w:r>
        <w:t>8. AI / LLM / RAG Documentation</w:t>
      </w:r>
    </w:p>
    <w:p>
      <w:pPr>
        <w:pStyle w:val="Heading3"/>
      </w:pPr>
      <w:r>
        <w:t>Why AI/LLM is Used</w:t>
      </w:r>
    </w:p>
    <w:p>
      <w:pPr>
        <w:spacing w:after="120"/>
      </w:pPr>
      <w:r>
        <w:t>Regulatory compliance is a language-heavy domain. Rules are expressed in natural language with legal nuance, cross-references, and contextual interpretation requirements. LLMs provide:</w:t>
      </w:r>
    </w:p>
    <w:p>
      <w:pPr>
        <w:pStyle w:val="ListNumber"/>
      </w:pPr>
      <w:r>
        <w:rPr>
          <w:b/>
        </w:rPr>
        <w:t>Query understanding</w:t>
      </w:r>
      <w:r>
        <w:t xml:space="preserve"> — mapping "can I launch a wallet?" to precise regulatory questions</w:t>
      </w:r>
    </w:p>
    <w:p>
      <w:pPr>
        <w:pStyle w:val="ListNumber"/>
      </w:pPr>
      <w:r>
        <w:rPr>
          <w:b/>
        </w:rPr>
        <w:t>Legal synthesis</w:t>
      </w:r>
      <w:r>
        <w:t xml:space="preserve"> — identifying obligations, prohibitions, and conflicts across multiple retrieved chunks</w:t>
      </w:r>
    </w:p>
    <w:p>
      <w:pPr>
        <w:pStyle w:val="ListNumber"/>
      </w:pPr>
      <w:r>
        <w:rPr>
          <w:b/>
        </w:rPr>
        <w:t>Risk reasoning</w:t>
      </w:r>
      <w:r>
        <w:t xml:space="preserve"> — assessing compliance risk relative to a specific business context</w:t>
      </w:r>
    </w:p>
    <w:p>
      <w:pPr>
        <w:pStyle w:val="ListNumber"/>
      </w:pPr>
      <w:r>
        <w:rPr>
          <w:b/>
        </w:rPr>
        <w:t>Adversarial review</w:t>
      </w:r>
      <w:r>
        <w:t xml:space="preserve"> — checking whether the analysis is logically consistent</w:t>
      </w:r>
    </w:p>
    <w:p>
      <w:pPr>
        <w:pStyle w:val="Heading3"/>
      </w:pPr>
      <w:r>
        <w:t>LLM Configuration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Setting</w:t>
            </w:r>
          </w:p>
        </w:tc>
        <w:tc>
          <w:tcPr>
            <w:tcW w:type="dxa" w:w="3135"/>
            <w:shd w:fill="1E569A" w:val="clear"/>
          </w:tcPr>
          <w:p>
            <w:r>
              <w:rPr>
                <w:b/>
                <w:color w:val="FFFFFF"/>
                <w:sz w:val="19"/>
              </w:rPr>
              <w:t>Value</w:t>
            </w:r>
          </w:p>
        </w:tc>
        <w:tc>
          <w:tcPr>
            <w:tcW w:type="dxa" w:w="3135"/>
            <w:shd w:fill="1E569A" w:val="clear"/>
          </w:tcPr>
          <w:p>
            <w:r>
              <w:rPr>
                <w:b/>
                <w:color w:val="FFFFFF"/>
                <w:sz w:val="19"/>
              </w:rPr>
              <w:t>Notes</w:t>
            </w:r>
          </w:p>
        </w:tc>
      </w:tr>
      <w:tr>
        <w:tc>
          <w:tcPr>
            <w:tcW w:type="dxa" w:w="3135"/>
          </w:tcPr>
          <w:p>
            <w:r>
              <w:rPr>
                <w:b/>
                <w:sz w:val="19"/>
              </w:rPr>
              <w:t>Provider</w:t>
            </w:r>
          </w:p>
        </w:tc>
        <w:tc>
          <w:tcPr>
            <w:tcW w:type="dxa" w:w="3135"/>
          </w:tcPr>
          <w:p>
            <w:r>
              <w:rPr>
                <w:sz w:val="19"/>
              </w:rPr>
              <w:t>OpenAI (default) or Ollama (local)</w:t>
            </w:r>
          </w:p>
        </w:tc>
        <w:tc>
          <w:tcPr>
            <w:tcW w:type="dxa" w:w="3135"/>
          </w:tcPr>
          <w:p>
            <w:r>
              <w:rPr>
                <w:sz w:val="19"/>
              </w:rPr>
              <w:t xml:space="preserve">Controlled by </w:t>
            </w:r>
            <w:r>
              <w:rPr>
                <w:rFonts w:ascii="Courier New" w:hAnsi="Courier New"/>
                <w:color w:val="C7254E"/>
                <w:sz w:val="19"/>
              </w:rPr>
              <w:t>llm_provider</w:t>
            </w:r>
            <w:r>
              <w:rPr>
                <w:sz w:val="19"/>
              </w:rPr>
              <w:t xml:space="preserve"> in config</w:t>
            </w:r>
          </w:p>
        </w:tc>
      </w:tr>
      <w:tr>
        <w:tc>
          <w:tcPr>
            <w:tcW w:type="dxa" w:w="3135"/>
            <w:shd w:fill="EEF4FB" w:val="clear"/>
          </w:tcPr>
          <w:p>
            <w:r>
              <w:rPr>
                <w:b/>
                <w:sz w:val="19"/>
              </w:rPr>
              <w:t>Model</w:t>
            </w:r>
          </w:p>
        </w:tc>
        <w:tc>
          <w:tcPr>
            <w:tcW w:type="dxa" w:w="3135"/>
            <w:shd w:fill="EEF4FB" w:val="clear"/>
          </w:tcPr>
          <w:p>
            <w:r>
              <w:rPr>
                <w:rFonts w:ascii="Courier New" w:hAnsi="Courier New"/>
                <w:color w:val="C7254E"/>
                <w:sz w:val="19"/>
              </w:rPr>
              <w:t>gpt-4o-mini</w:t>
            </w:r>
          </w:p>
        </w:tc>
        <w:tc>
          <w:tcPr>
            <w:tcW w:type="dxa" w:w="3135"/>
            <w:shd w:fill="EEF4FB" w:val="clear"/>
          </w:tcPr>
          <w:p>
            <w:r>
              <w:rPr>
                <w:sz w:val="19"/>
              </w:rPr>
              <w:t xml:space="preserve">Configurable via </w:t>
            </w:r>
            <w:r>
              <w:rPr>
                <w:rFonts w:ascii="Courier New" w:hAnsi="Courier New"/>
                <w:color w:val="C7254E"/>
                <w:sz w:val="19"/>
              </w:rPr>
              <w:t>openai_model</w:t>
            </w:r>
          </w:p>
        </w:tc>
      </w:tr>
      <w:tr>
        <w:tc>
          <w:tcPr>
            <w:tcW w:type="dxa" w:w="3135"/>
          </w:tcPr>
          <w:p>
            <w:r>
              <w:rPr>
                <w:b/>
                <w:sz w:val="19"/>
              </w:rPr>
              <w:t>Unified client</w:t>
            </w:r>
          </w:p>
        </w:tc>
        <w:tc>
          <w:tcPr>
            <w:tcW w:type="dxa" w:w="3135"/>
          </w:tcPr>
          <w:p>
            <w:r>
              <w:rPr>
                <w:rFonts w:ascii="Courier New" w:hAnsi="Courier New"/>
                <w:color w:val="C7254E"/>
                <w:sz w:val="19"/>
              </w:rPr>
              <w:t>app/utils/llm_client.py</w:t>
            </w:r>
          </w:p>
        </w:tc>
        <w:tc>
          <w:tcPr>
            <w:tcW w:type="dxa" w:w="3135"/>
          </w:tcPr>
          <w:p>
            <w:r>
              <w:rPr>
                <w:sz w:val="19"/>
              </w:rPr>
              <w:t xml:space="preserve">All 9 LLM call sites go through </w:t>
            </w:r>
            <w:r>
              <w:rPr>
                <w:rFonts w:ascii="Courier New" w:hAnsi="Courier New"/>
                <w:color w:val="C7254E"/>
                <w:sz w:val="19"/>
              </w:rPr>
              <w:t>chat()</w:t>
            </w:r>
          </w:p>
        </w:tc>
      </w:tr>
      <w:tr>
        <w:tc>
          <w:tcPr>
            <w:tcW w:type="dxa" w:w="3135"/>
            <w:shd w:fill="EEF4FB" w:val="clear"/>
          </w:tcPr>
          <w:p>
            <w:r>
              <w:rPr>
                <w:b/>
                <w:sz w:val="19"/>
              </w:rPr>
              <w:t>Ollama fallback</w:t>
            </w:r>
          </w:p>
        </w:tc>
        <w:tc>
          <w:tcPr>
            <w:tcW w:type="dxa" w:w="3135"/>
            <w:shd w:fill="EEF4FB" w:val="clear"/>
          </w:tcPr>
          <w:p>
            <w:r>
              <w:rPr>
                <w:rFonts w:ascii="Courier New" w:hAnsi="Courier New"/>
                <w:color w:val="C7254E"/>
                <w:sz w:val="19"/>
              </w:rPr>
              <w:t>qwen2.5:14b</w:t>
            </w:r>
            <w:r>
              <w:rPr>
                <w:sz w:val="19"/>
              </w:rPr>
              <w:t xml:space="preserve"> / </w:t>
            </w:r>
            <w:r>
              <w:rPr>
                <w:rFonts w:ascii="Courier New" w:hAnsi="Courier New"/>
                <w:color w:val="C7254E"/>
                <w:sz w:val="19"/>
              </w:rPr>
              <w:t>qwen2.5:7b</w:t>
            </w:r>
          </w:p>
        </w:tc>
        <w:tc>
          <w:tcPr>
            <w:tcW w:type="dxa" w:w="3135"/>
            <w:shd w:fill="EEF4FB" w:val="clear"/>
          </w:tcPr>
          <w:p>
            <w:r>
              <w:rPr>
                <w:sz w:val="19"/>
              </w:rPr>
              <w:t>For local/offline operation</w:t>
            </w:r>
          </w:p>
        </w:tc>
      </w:tr>
    </w:tbl>
    <w:p/>
    <w:p>
      <w:pPr>
        <w:pStyle w:val="Heading3"/>
      </w:pPr>
      <w:r>
        <w:t>Multi-Agent Workflow Architecture</w:t>
      </w:r>
    </w:p>
    <w:p>
      <w:pPr>
        <w:spacing w:after="120"/>
      </w:pPr>
      <w:r>
        <w:t xml:space="preserve">The system uses </w:t>
      </w:r>
      <w:r>
        <w:rPr>
          <w:b/>
        </w:rPr>
        <w:t>LangGraph</w:t>
      </w:r>
      <w:r>
        <w:t xml:space="preserve"> — a stateful directed graph for orchestrating AI agents. The workflow is a Directed Acyclic Graph (with one conditional back-edge for quality looping).</w:t>
      </w:r>
    </w:p>
    <w:p>
      <w:pPr>
        <w:pStyle w:val="Heading4"/>
      </w:pPr>
      <w:r>
        <w:t>Agent Responsibilities</w:t>
      </w:r>
    </w:p>
    <w:p>
      <w:pPr>
        <w:spacing w:after="120"/>
      </w:pPr>
      <w:r>
        <w:rPr>
          <w:b/>
        </w:rPr>
        <w:t>Agent 1: Orchestrator</w:t>
      </w:r>
      <w:r>
        <w:t xml:space="preserve"> (</w:t>
      </w:r>
      <w:r>
        <w:rPr>
          <w:rFonts w:ascii="Courier New" w:hAnsi="Courier New"/>
          <w:color w:val="C7254E"/>
          <w:sz w:val="18"/>
        </w:rPr>
        <w:t>orchestrator.py</w:t>
      </w:r>
      <w:r>
        <w:t>)</w:t>
      </w:r>
    </w:p>
    <w:p>
      <w:pPr>
        <w:pStyle w:val="ListBullet"/>
      </w:pPr>
      <w:r>
        <w:t>Input: raw user query + optional organization context</w:t>
      </w:r>
    </w:p>
    <w:p>
      <w:pPr>
        <w:pStyle w:val="ListBullet"/>
      </w:pPr>
      <w:r>
        <w:t xml:space="preserve">Output: </w:t>
      </w:r>
      <w:r>
        <w:rPr>
          <w:rFonts w:ascii="Courier New" w:hAnsi="Courier New"/>
          <w:color w:val="C7254E"/>
          <w:sz w:val="18"/>
        </w:rPr>
        <w:t>task_breakdown</w:t>
      </w:r>
      <w:r>
        <w:t xml:space="preserve"> (subtask list), </w:t>
      </w:r>
      <w:r>
        <w:rPr>
          <w:rFonts w:ascii="Courier New" w:hAnsi="Courier New"/>
          <w:color w:val="C7254E"/>
          <w:sz w:val="18"/>
        </w:rPr>
        <w:t>target_regulators</w:t>
      </w:r>
      <w:r>
        <w:t xml:space="preserve"> (e.g., ["CBN", "SEC"]), </w:t>
      </w:r>
      <w:r>
        <w:rPr>
          <w:rFonts w:ascii="Courier New" w:hAnsi="Courier New"/>
          <w:color w:val="C7254E"/>
          <w:sz w:val="18"/>
        </w:rPr>
        <w:t>context_summary</w:t>
      </w:r>
      <w:r>
        <w:t xml:space="preserve">, </w:t>
      </w:r>
      <w:r>
        <w:rPr>
          <w:rFonts w:ascii="Courier New" w:hAnsi="Courier New"/>
          <w:color w:val="C7254E"/>
          <w:sz w:val="18"/>
        </w:rPr>
        <w:t>query_type</w:t>
      </w:r>
    </w:p>
    <w:p>
      <w:pPr>
        <w:pStyle w:val="ListBullet"/>
      </w:pPr>
      <w:r>
        <w:t>LLM timeout: 60 seconds</w:t>
      </w:r>
    </w:p>
    <w:p>
      <w:pPr>
        <w:pStyle w:val="ListBullet"/>
      </w:pPr>
      <w:r>
        <w:t>Role: Does NOT perform legal analysis — only task decomposition and routing</w:t>
      </w:r>
    </w:p>
    <w:p>
      <w:pPr>
        <w:spacing w:after="120"/>
      </w:pPr>
      <w:r>
        <w:rPr>
          <w:b/>
        </w:rPr>
        <w:t>Agent 2: Jurisdiction Mapper</w:t>
      </w:r>
      <w:r>
        <w:t xml:space="preserve"> (</w:t>
      </w:r>
      <w:r>
        <w:rPr>
          <w:rFonts w:ascii="Courier New" w:hAnsi="Courier New"/>
          <w:color w:val="C7254E"/>
          <w:sz w:val="18"/>
        </w:rPr>
        <w:t>jurisdiction_mapper.py</w:t>
      </w:r>
      <w:r>
        <w:t>)</w:t>
      </w:r>
    </w:p>
    <w:p>
      <w:pPr>
        <w:pStyle w:val="ListBullet"/>
      </w:pPr>
      <w:r>
        <w:t>Input: query + context summary from orchestrator</w:t>
      </w:r>
    </w:p>
    <w:p>
      <w:pPr>
        <w:pStyle w:val="ListBullet"/>
      </w:pPr>
      <w:r>
        <w:t xml:space="preserve">Output: </w:t>
      </w:r>
      <w:r>
        <w:rPr>
          <w:rFonts w:ascii="Courier New" w:hAnsi="Courier New"/>
          <w:color w:val="C7254E"/>
          <w:sz w:val="18"/>
        </w:rPr>
        <w:t>applicable_regulators</w:t>
      </w:r>
      <w:r>
        <w:t xml:space="preserve"> (list with regulator + jurisdiction rationale), </w:t>
      </w:r>
      <w:r>
        <w:rPr>
          <w:rFonts w:ascii="Courier New" w:hAnsi="Courier New"/>
          <w:color w:val="C7254E"/>
          <w:sz w:val="18"/>
        </w:rPr>
        <w:t>overlap_risks</w:t>
      </w:r>
      <w:r>
        <w:t xml:space="preserve">, </w:t>
      </w:r>
      <w:r>
        <w:rPr>
          <w:rFonts w:ascii="Courier New" w:hAnsi="Courier New"/>
          <w:color w:val="C7254E"/>
          <w:sz w:val="18"/>
        </w:rPr>
        <w:t>primary_regulator</w:t>
      </w:r>
    </w:p>
    <w:p>
      <w:pPr>
        <w:pStyle w:val="ListBullet"/>
      </w:pPr>
      <w:r>
        <w:t>LLM timeout: 60 seconds</w:t>
      </w:r>
    </w:p>
    <w:p>
      <w:pPr>
        <w:pStyle w:val="ListBullet"/>
      </w:pPr>
      <w:r>
        <w:t>Role: Identifies which of CBN / SEC / NDIC / FIRS / FCCPC / NITDA / NDPA apply</w:t>
      </w:r>
    </w:p>
    <w:p>
      <w:pPr>
        <w:spacing w:after="120"/>
      </w:pPr>
      <w:r>
        <w:rPr>
          <w:b/>
        </w:rPr>
        <w:t>Agent 3: Research</w:t>
      </w:r>
      <w:r>
        <w:t xml:space="preserve"> (via </w:t>
      </w:r>
      <w:r>
        <w:rPr>
          <w:rFonts w:ascii="Courier New" w:hAnsi="Courier New"/>
          <w:color w:val="C7254E"/>
          <w:sz w:val="18"/>
        </w:rPr>
        <w:t>RetrievalService</w:t>
      </w:r>
      <w:r>
        <w:t>)</w:t>
      </w:r>
    </w:p>
    <w:p>
      <w:pPr>
        <w:pStyle w:val="ListBullet"/>
      </w:pPr>
      <w:r>
        <w:t>No LLM call for retrieval itself — uses embedding models</w:t>
      </w:r>
    </w:p>
    <w:p>
      <w:pPr>
        <w:pStyle w:val="ListBullet"/>
      </w:pPr>
      <w:r>
        <w:t>LLM used for query expansion (timeout: 30s) and contextual compression (timeout: 20s per chunk)</w:t>
      </w:r>
    </w:p>
    <w:p>
      <w:pPr>
        <w:pStyle w:val="ListBullet"/>
      </w:pPr>
      <w:r>
        <w:t>Role: Retrieves the most relevant regulation chunks from Qdrant via 8-step pipeline (see below)</w:t>
      </w:r>
    </w:p>
    <w:p>
      <w:pPr>
        <w:spacing w:after="120"/>
      </w:pPr>
      <w:r>
        <w:rPr>
          <w:b/>
        </w:rPr>
        <w:t>Agent 4: Regulatory Reasoning</w:t>
      </w:r>
      <w:r>
        <w:t xml:space="preserve"> (</w:t>
      </w:r>
      <w:r>
        <w:rPr>
          <w:rFonts w:ascii="Courier New" w:hAnsi="Courier New"/>
          <w:color w:val="C7254E"/>
          <w:sz w:val="18"/>
        </w:rPr>
        <w:t>reasoning.py</w:t>
      </w:r>
      <w:r>
        <w:t>)</w:t>
      </w:r>
    </w:p>
    <w:p>
      <w:pPr>
        <w:pStyle w:val="ListBullet"/>
      </w:pPr>
      <w:r>
        <w:t>Input: original query + retrieved chunks + jurisdiction result</w:t>
      </w:r>
    </w:p>
    <w:p>
      <w:pPr>
        <w:pStyle w:val="ListBullet"/>
      </w:pPr>
      <w:r>
        <w:t xml:space="preserve">Output: </w:t>
      </w:r>
      <w:r>
        <w:rPr>
          <w:rFonts w:ascii="Courier New" w:hAnsi="Courier New"/>
          <w:color w:val="C7254E"/>
          <w:sz w:val="18"/>
        </w:rPr>
        <w:t>obligations</w:t>
      </w:r>
      <w:r>
        <w:t xml:space="preserve">, </w:t>
      </w:r>
      <w:r>
        <w:rPr>
          <w:rFonts w:ascii="Courier New" w:hAnsi="Courier New"/>
          <w:color w:val="C7254E"/>
          <w:sz w:val="18"/>
        </w:rPr>
        <w:t>prohibitions</w:t>
      </w:r>
      <w:r>
        <w:t xml:space="preserve">, </w:t>
      </w:r>
      <w:r>
        <w:rPr>
          <w:rFonts w:ascii="Courier New" w:hAnsi="Courier New"/>
          <w:color w:val="C7254E"/>
          <w:sz w:val="18"/>
        </w:rPr>
        <w:t>permissions</w:t>
      </w:r>
      <w:r>
        <w:t xml:space="preserve">, </w:t>
      </w:r>
      <w:r>
        <w:rPr>
          <w:rFonts w:ascii="Courier New" w:hAnsi="Courier New"/>
          <w:color w:val="C7254E"/>
          <w:sz w:val="18"/>
        </w:rPr>
        <w:t>conflicts</w:t>
      </w:r>
      <w:r>
        <w:t xml:space="preserve">, </w:t>
      </w:r>
      <w:r>
        <w:rPr>
          <w:rFonts w:ascii="Courier New" w:hAnsi="Courier New"/>
          <w:color w:val="C7254E"/>
          <w:sz w:val="18"/>
        </w:rPr>
        <w:t>reasoning_summary</w:t>
      </w:r>
      <w:r>
        <w:t xml:space="preserve">, </w:t>
      </w:r>
      <w:r>
        <w:rPr>
          <w:rFonts w:ascii="Courier New" w:hAnsi="Courier New"/>
          <w:color w:val="C7254E"/>
          <w:sz w:val="18"/>
        </w:rPr>
        <w:t>confidence</w:t>
      </w:r>
    </w:p>
    <w:p>
      <w:pPr>
        <w:pStyle w:val="ListBullet"/>
      </w:pPr>
      <w:r>
        <w:t>LLM timeout: 180 seconds (most complex step)</w:t>
      </w:r>
    </w:p>
    <w:p>
      <w:pPr>
        <w:pStyle w:val="ListBullet"/>
      </w:pPr>
      <w:r>
        <w:t>Role: Performs actual legal synthesis — every conclusion must cite a specific chunk</w:t>
      </w:r>
    </w:p>
    <w:p>
      <w:pPr>
        <w:spacing w:after="120"/>
      </w:pPr>
      <w:r>
        <w:rPr>
          <w:b/>
        </w:rPr>
        <w:t>Agent 5: Compliance Auditor</w:t>
      </w:r>
      <w:r>
        <w:t xml:space="preserve"> (</w:t>
      </w:r>
      <w:r>
        <w:rPr>
          <w:rFonts w:ascii="Courier New" w:hAnsi="Courier New"/>
          <w:color w:val="C7254E"/>
          <w:sz w:val="18"/>
        </w:rPr>
        <w:t>auditor.py</w:t>
      </w:r>
      <w:r>
        <w:t>)</w:t>
      </w:r>
    </w:p>
    <w:p>
      <w:pPr>
        <w:pStyle w:val="ListBullet"/>
      </w:pPr>
      <w:r>
        <w:t>Input: query + reasoning output + top-10 retrieved chunks</w:t>
      </w:r>
    </w:p>
    <w:p>
      <w:pPr>
        <w:pStyle w:val="ListBullet"/>
      </w:pPr>
      <w:r>
        <w:t xml:space="preserve">Output: </w:t>
      </w:r>
      <w:r>
        <w:rPr>
          <w:rFonts w:ascii="Courier New" w:hAnsi="Courier New"/>
          <w:color w:val="C7254E"/>
          <w:sz w:val="18"/>
        </w:rPr>
        <w:t>risk_score</w:t>
      </w:r>
      <w:r>
        <w:t xml:space="preserve"> (1–10), </w:t>
      </w:r>
      <w:r>
        <w:rPr>
          <w:rFonts w:ascii="Courier New" w:hAnsi="Courier New"/>
          <w:color w:val="C7254E"/>
          <w:sz w:val="18"/>
        </w:rPr>
        <w:t>risk_level</w:t>
      </w:r>
      <w:r>
        <w:t xml:space="preserve">, </w:t>
      </w:r>
      <w:r>
        <w:rPr>
          <w:rFonts w:ascii="Courier New" w:hAnsi="Courier New"/>
          <w:color w:val="C7254E"/>
          <w:sz w:val="18"/>
        </w:rPr>
        <w:t>compliance_gaps</w:t>
      </w:r>
      <w:r>
        <w:t xml:space="preserve">, </w:t>
      </w:r>
      <w:r>
        <w:rPr>
          <w:rFonts w:ascii="Courier New" w:hAnsi="Courier New"/>
          <w:color w:val="C7254E"/>
          <w:sz w:val="18"/>
        </w:rPr>
        <w:t>compliance_checklist</w:t>
      </w:r>
      <w:r>
        <w:t xml:space="preserve">, </w:t>
      </w:r>
      <w:r>
        <w:rPr>
          <w:rFonts w:ascii="Courier New" w:hAnsi="Courier New"/>
          <w:color w:val="C7254E"/>
          <w:sz w:val="18"/>
        </w:rPr>
        <w:t>licensing_requirements</w:t>
      </w:r>
      <w:r>
        <w:t xml:space="preserve">, </w:t>
      </w:r>
      <w:r>
        <w:rPr>
          <w:rFonts w:ascii="Courier New" w:hAnsi="Courier New"/>
          <w:color w:val="C7254E"/>
          <w:sz w:val="18"/>
        </w:rPr>
        <w:t>recommendations</w:t>
      </w:r>
    </w:p>
    <w:p>
      <w:pPr>
        <w:pStyle w:val="ListBullet"/>
      </w:pPr>
      <w:r>
        <w:t>LLM timeout: 120 seconds</w:t>
      </w:r>
    </w:p>
    <w:p>
      <w:pPr>
        <w:pStyle w:val="ListBullet"/>
      </w:pPr>
      <w:r>
        <w:t>Role: Structured risk assessment and gap analysis</w:t>
      </w:r>
    </w:p>
    <w:p>
      <w:pPr>
        <w:spacing w:after="120"/>
      </w:pPr>
      <w:r>
        <w:rPr>
          <w:b/>
        </w:rPr>
        <w:t>Agent 6: Citation Verifier</w:t>
      </w:r>
      <w:r>
        <w:t xml:space="preserve"> (</w:t>
      </w:r>
      <w:r>
        <w:rPr>
          <w:rFonts w:ascii="Courier New" w:hAnsi="Courier New"/>
          <w:color w:val="C7254E"/>
          <w:sz w:val="18"/>
        </w:rPr>
        <w:t>citation_verifier.py</w:t>
      </w:r>
      <w:r>
        <w:t>)</w:t>
      </w:r>
    </w:p>
    <w:p>
      <w:pPr>
        <w:pStyle w:val="ListBullet"/>
      </w:pPr>
      <w:r>
        <w:t>Input: reasoning output + audit output + all retrieved chunks</w:t>
      </w:r>
    </w:p>
    <w:p>
      <w:pPr>
        <w:pStyle w:val="ListBullet"/>
      </w:pPr>
      <w:r>
        <w:t xml:space="preserve">Output: </w:t>
      </w:r>
      <w:r>
        <w:rPr>
          <w:rFonts w:ascii="Courier New" w:hAnsi="Courier New"/>
          <w:color w:val="C7254E"/>
          <w:sz w:val="18"/>
        </w:rPr>
        <w:t>verified_citations</w:t>
      </w:r>
      <w:r>
        <w:t xml:space="preserve">, </w:t>
      </w:r>
      <w:r>
        <w:rPr>
          <w:rFonts w:ascii="Courier New" w:hAnsi="Courier New"/>
          <w:color w:val="C7254E"/>
          <w:sz w:val="18"/>
        </w:rPr>
        <w:t>failed_citations</w:t>
      </w:r>
      <w:r>
        <w:t xml:space="preserve">, </w:t>
      </w:r>
      <w:r>
        <w:rPr>
          <w:rFonts w:ascii="Courier New" w:hAnsi="Courier New"/>
          <w:color w:val="C7254E"/>
          <w:sz w:val="18"/>
        </w:rPr>
        <w:t>overall_grounding_score</w:t>
      </w:r>
      <w:r>
        <w:t xml:space="preserve"> (0–100%), </w:t>
      </w:r>
      <w:r>
        <w:rPr>
          <w:rFonts w:ascii="Courier New" w:hAnsi="Courier New"/>
          <w:color w:val="C7254E"/>
          <w:sz w:val="18"/>
        </w:rPr>
        <w:t>hallucination_risk</w:t>
      </w:r>
      <w:r>
        <w:t xml:space="preserve">, </w:t>
      </w:r>
      <w:r>
        <w:rPr>
          <w:rFonts w:ascii="Courier New" w:hAnsi="Courier New"/>
          <w:color w:val="C7254E"/>
          <w:sz w:val="18"/>
        </w:rPr>
        <w:t>recommendation</w:t>
      </w:r>
    </w:p>
    <w:p>
      <w:pPr>
        <w:pStyle w:val="ListBullet"/>
      </w:pPr>
      <w:r>
        <w:t>LLM timeout: 120 seconds</w:t>
      </w:r>
    </w:p>
    <w:p>
      <w:pPr>
        <w:pStyle w:val="ListBullet"/>
      </w:pPr>
      <w:r>
        <w:t>Role: Cross-checks every claim against the retrieved evidence — the hallucination firewall</w:t>
      </w:r>
    </w:p>
    <w:p>
      <w:pPr>
        <w:spacing w:after="120"/>
      </w:pPr>
      <w:r>
        <w:rPr>
          <w:b/>
        </w:rPr>
        <w:t>Agent 7: Critic</w:t>
      </w:r>
      <w:r>
        <w:t xml:space="preserve"> (</w:t>
      </w:r>
      <w:r>
        <w:rPr>
          <w:rFonts w:ascii="Courier New" w:hAnsi="Courier New"/>
          <w:color w:val="C7254E"/>
          <w:sz w:val="18"/>
        </w:rPr>
        <w:t>critic.py</w:t>
      </w:r>
      <w:r>
        <w:t>)</w:t>
      </w:r>
    </w:p>
    <w:p>
      <w:pPr>
        <w:pStyle w:val="ListBullet"/>
      </w:pPr>
      <w:r>
        <w:t>Input: query + reasoning + audit + citation outputs</w:t>
      </w:r>
    </w:p>
    <w:p>
      <w:pPr>
        <w:pStyle w:val="ListBullet"/>
      </w:pPr>
      <w:r>
        <w:t xml:space="preserve">Output: </w:t>
      </w:r>
      <w:r>
        <w:rPr>
          <w:rFonts w:ascii="Courier New" w:hAnsi="Courier New"/>
          <w:color w:val="C7254E"/>
          <w:sz w:val="18"/>
        </w:rPr>
        <w:t>issues_found</w:t>
      </w:r>
      <w:r>
        <w:t xml:space="preserve"> (with severity), </w:t>
      </w:r>
      <w:r>
        <w:rPr>
          <w:rFonts w:ascii="Courier New" w:hAnsi="Courier New"/>
          <w:color w:val="C7254E"/>
          <w:sz w:val="18"/>
        </w:rPr>
        <w:t>missing_analysis</w:t>
      </w:r>
      <w:r>
        <w:t xml:space="preserve">, </w:t>
      </w:r>
      <w:r>
        <w:rPr>
          <w:rFonts w:ascii="Courier New" w:hAnsi="Courier New"/>
          <w:color w:val="C7254E"/>
          <w:sz w:val="18"/>
        </w:rPr>
        <w:t>quality_score</w:t>
      </w:r>
      <w:r>
        <w:t xml:space="preserve"> (1–10), </w:t>
      </w:r>
      <w:r>
        <w:rPr>
          <w:rFonts w:ascii="Courier New" w:hAnsi="Courier New"/>
          <w:color w:val="C7254E"/>
          <w:sz w:val="18"/>
        </w:rPr>
        <w:t>overall_assessment</w:t>
      </w:r>
      <w:r>
        <w:t xml:space="preserve"> (PASS / PASS_WITH_REVISIONS / FAIL), </w:t>
      </w:r>
      <w:r>
        <w:rPr>
          <w:rFonts w:ascii="Courier New" w:hAnsi="Courier New"/>
          <w:color w:val="C7254E"/>
          <w:sz w:val="18"/>
        </w:rPr>
        <w:t>summary_feedback</w:t>
      </w:r>
    </w:p>
    <w:p>
      <w:pPr>
        <w:pStyle w:val="ListBullet"/>
      </w:pPr>
      <w:r>
        <w:t>LLM timeout: 120 seconds</w:t>
      </w:r>
    </w:p>
    <w:p>
      <w:pPr>
        <w:pStyle w:val="ListBullet"/>
      </w:pPr>
      <w:r>
        <w:t>Role: Adversarial reviewer — finds what other agents missed</w:t>
      </w:r>
    </w:p>
    <w:p>
      <w:pPr>
        <w:pStyle w:val="Heading4"/>
      </w:pPr>
      <w:r>
        <w:t>Workflow Routing Logic</w:t>
      </w:r>
    </w:p>
    <w:p>
      <w:pPr>
        <w:spacing w:before="80" w:after="80"/>
        <w:ind w:left="432"/>
        <w:shd w:fill="F0F4F8" w:val="clear"/>
      </w:pPr>
      <w:r>
        <w:rPr>
          <w:rFonts w:ascii="Courier New" w:hAnsi="Courier New"/>
          <w:color w:val="1F1F1F"/>
          <w:sz w:val="17"/>
        </w:rPr>
        <w:t>def route_after_critic(state: AgentState) -&gt; str:</w:t>
        <w:br/>
        <w:t xml:space="preserve">    if overall_assessment == "FAIL" and iteration_count &lt; max_iterations:</w:t>
        <w:br/>
        <w:t xml:space="preserve">        return "reasoning"  # Loop back: re-run reasoning → auditor → citation → critic</w:t>
        <w:br/>
        <w:t xml:space="preserve">    return "end"</w:t>
      </w:r>
    </w:p>
    <w:p>
      <w:pPr>
        <w:spacing w:after="120"/>
      </w:pPr>
      <w:r>
        <w:t xml:space="preserve">The critic can trigger at most </w:t>
      </w:r>
      <w:r>
        <w:rPr>
          <w:rFonts w:ascii="Courier New" w:hAnsi="Courier New"/>
          <w:color w:val="C7254E"/>
          <w:sz w:val="18"/>
        </w:rPr>
        <w:t>max_iterations</w:t>
      </w:r>
      <w:r>
        <w:t xml:space="preserve"> (default: 2) re-runs of the reasoning–auditor–citation cycle. This prevents infinite loops while allowing quality refinement.</w:t>
      </w:r>
    </w:p>
    <w:p>
      <w:pPr>
        <w:pStyle w:val="Heading3"/>
      </w:pPr>
      <w:r>
        <w:t>RAG Pipeline (8 Steps)</w:t>
      </w:r>
    </w:p>
    <w:p>
      <w:pPr>
        <w:spacing w:after="120"/>
      </w:pPr>
      <w:r>
        <w:t xml:space="preserve">The </w:t>
      </w:r>
      <w:r>
        <w:rPr>
          <w:rFonts w:ascii="Courier New" w:hAnsi="Courier New"/>
          <w:color w:val="C7254E"/>
          <w:sz w:val="18"/>
        </w:rPr>
        <w:t>RetrievalService.retrieve()</w:t>
      </w:r>
      <w:r>
        <w:t xml:space="preserve"> method implements a production-grade RAG pipeline:</w:t>
      </w:r>
    </w:p>
    <w:p>
      <w:pPr>
        <w:spacing w:before="80" w:after="80"/>
        <w:ind w:left="432"/>
        <w:shd w:fill="F0F4F8" w:val="clear"/>
      </w:pPr>
      <w:r>
        <w:rPr>
          <w:rFonts w:ascii="Courier New" w:hAnsi="Courier New"/>
          <w:color w:val="1F1F1F"/>
          <w:sz w:val="17"/>
        </w:rPr>
        <w:t>Query Input</w:t>
        <w:br/>
        <w:t xml:space="preserve">    │</w:t>
        <w:br/>
        <w:t xml:space="preserve">    ▼ Step 1: Query Rewriting (LLM)</w:t>
        <w:br/>
        <w:t xml:space="preserve">    │   → Generates 2 legal rephrasings of the query</w:t>
        <w:br/>
        <w:t xml:space="preserve">    │   → Returns: [original_query, rephrasing_1, rephrasing_2]</w:t>
        <w:br/>
        <w:t xml:space="preserve">    │   → Fallback: original query only if LLM call fails</w:t>
        <w:br/>
        <w:t xml:space="preserve">    │</w:t>
        <w:br/>
        <w:t xml:space="preserve">    ▼ Step 2: Multi-Query Hybrid Search (per variant)</w:t>
        <w:br/>
        <w:t xml:space="preserve">    │   → Dense search: query text → BAAI/bge-base-en-v1.5 → 768-dim vector → Qdrant cosine</w:t>
        <w:br/>
        <w:t xml:space="preserve">    │   → Sparse search: query text → BM25 (fastembed) → sparse vector → Qdrant sparse index</w:t>
        <w:br/>
        <w:t xml:space="preserve">    │   → Runs for each of the 3 query variants</w:t>
        <w:br/>
        <w:t xml:space="preserve">    │   → Deduplication by source::section::page key</w:t>
        <w:br/>
        <w:t xml:space="preserve">    │</w:t>
        <w:br/>
        <w:t xml:space="preserve">    ▼ Step 3: Post-Retrieval Metadata Filter</w:t>
        <w:br/>
        <w:t xml:space="preserve">    │   → If multiple regulators identified, filter chunks to those regulators only</w:t>
        <w:br/>
        <w:t xml:space="preserve">    │   → Supports filtering by document_type (e.g., "Regulation" only)</w:t>
        <w:br/>
        <w:t xml:space="preserve">    │</w:t>
        <w:br/>
        <w:t xml:space="preserve">    ▼ Step 4: Cross-Encoder Reranking</w:t>
        <w:br/>
        <w:t xml:space="preserve">    │   → BAAI/bge-reranker-v2-m3 (2.27GB model, loaded once as singleton)</w:t>
        <w:br/>
        <w:t xml:space="preserve">    │   → Scores (query, chunk_text) pairs with cross-attention</w:t>
        <w:br/>
        <w:t xml:space="preserve">    │   → Reranks top_k × 2 candidates, keeps top_k × 2 for next step</w:t>
        <w:br/>
        <w:t xml:space="preserve">    │   → More accurate than cosine similarity alone</w:t>
        <w:br/>
        <w:t xml:space="preserve">    │</w:t>
        <w:br/>
        <w:t xml:space="preserve">    ▼ Step 5: Temporal / Freshness Scoring</w:t>
        <w:br/>
        <w:t xml:space="preserve">    │   → Documents &lt; 180 days old: no penalty (multiplier = 1.0)</w:t>
        <w:br/>
        <w:t xml:space="preserve">    │   → Older documents: linear decay to 0.80 over 5 years</w:t>
        <w:br/>
        <w:t xml:space="preserve">    │   → Applies penalty to score; marks chunk as freshness_penalized=True</w:t>
        <w:br/>
        <w:t xml:space="preserve">    │</w:t>
        <w:br/>
        <w:t xml:space="preserve">    ▼ Step 6: MMR Diversity Filtering</w:t>
        <w:br/>
        <w:t xml:space="preserve">    │   → Maximal Marginal Relevance: prevents multiple chunks from same section</w:t>
        <w:br/>
        <w:t xml:space="preserve">    │   → Promotes cross-regulator diversity in results</w:t>
        <w:br/>
        <w:t xml:space="preserve">    │   → Returns top rerank_top_k diverse chunks</w:t>
        <w:br/>
        <w:t xml:space="preserve">    │</w:t>
        <w:br/>
        <w:t xml:space="preserve">    ▼ Step 7: Contextual Compression (LLM)</w:t>
        <w:br/>
        <w:t xml:space="preserve">    │   → For chunks &gt; 300 chars: asks LLM to extract only sentences relevant to query</w:t>
        <w:br/>
        <w:t xml:space="preserve">    │   → Runs concurrently via asyncio.gather()</w:t>
        <w:br/>
        <w:t xml:space="preserve">    │   → Reduces noise in chunks passed to reasoning agent</w:t>
        <w:br/>
        <w:t xml:space="preserve">    │</w:t>
        <w:br/>
        <w:t xml:space="preserve">    ▼ Returns: list of enriched chunk dicts</w:t>
      </w:r>
    </w:p>
    <w:p>
      <w:pPr>
        <w:pStyle w:val="Heading3"/>
      </w:pPr>
      <w:r>
        <w:t>Embedding Strategy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E569A" w:val="clear"/>
          </w:tcPr>
          <w:p>
            <w:r>
              <w:rPr>
                <w:b/>
                <w:color w:val="FFFFFF"/>
                <w:sz w:val="19"/>
              </w:rPr>
              <w:t>Model</w:t>
            </w:r>
          </w:p>
        </w:tc>
        <w:tc>
          <w:tcPr>
            <w:tcW w:type="dxa" w:w="2351"/>
            <w:shd w:fill="1E569A" w:val="clear"/>
          </w:tcPr>
          <w:p>
            <w:r>
              <w:rPr>
                <w:b/>
                <w:color w:val="FFFFFF"/>
                <w:sz w:val="19"/>
              </w:rPr>
              <w:t>Type</w:t>
            </w:r>
          </w:p>
        </w:tc>
        <w:tc>
          <w:tcPr>
            <w:tcW w:type="dxa" w:w="2351"/>
            <w:shd w:fill="1E569A" w:val="clear"/>
          </w:tcPr>
          <w:p>
            <w:r>
              <w:rPr>
                <w:b/>
                <w:color w:val="FFFFFF"/>
                <w:sz w:val="19"/>
              </w:rPr>
              <w:t>Dimension</w:t>
            </w:r>
          </w:p>
        </w:tc>
        <w:tc>
          <w:tcPr>
            <w:tcW w:type="dxa" w:w="2351"/>
            <w:shd w:fill="1E569A" w:val="clear"/>
          </w:tcPr>
          <w:p>
            <w:r>
              <w:rPr>
                <w:b/>
                <w:color w:val="FFFFFF"/>
                <w:sz w:val="19"/>
              </w:rPr>
              <w:t>Use Case</w:t>
            </w:r>
          </w:p>
        </w:tc>
      </w:tr>
      <w:tr>
        <w:tc>
          <w:tcPr>
            <w:tcW w:type="dxa" w:w="2351"/>
          </w:tcPr>
          <w:p>
            <w:r>
              <w:rPr>
                <w:rFonts w:ascii="Courier New" w:hAnsi="Courier New"/>
                <w:color w:val="C7254E"/>
                <w:sz w:val="19"/>
              </w:rPr>
              <w:t>BAAI/bge-base-en-v1.5</w:t>
            </w:r>
          </w:p>
        </w:tc>
        <w:tc>
          <w:tcPr>
            <w:tcW w:type="dxa" w:w="2351"/>
          </w:tcPr>
          <w:p>
            <w:r>
              <w:rPr>
                <w:sz w:val="19"/>
              </w:rPr>
              <w:t>Dense (sentence-transformers)</w:t>
            </w:r>
          </w:p>
        </w:tc>
        <w:tc>
          <w:tcPr>
            <w:tcW w:type="dxa" w:w="2351"/>
          </w:tcPr>
          <w:p>
            <w:r>
              <w:rPr>
                <w:sz w:val="19"/>
              </w:rPr>
              <w:t>768</w:t>
            </w:r>
          </w:p>
        </w:tc>
        <w:tc>
          <w:tcPr>
            <w:tcW w:type="dxa" w:w="2351"/>
          </w:tcPr>
          <w:p>
            <w:r>
              <w:rPr>
                <w:sz w:val="19"/>
              </w:rPr>
              <w:t>Semantic similarity — understanding meaning</w:t>
            </w:r>
          </w:p>
        </w:tc>
      </w:tr>
      <w:tr>
        <w:tc>
          <w:tcPr>
            <w:tcW w:type="dxa" w:w="2351"/>
            <w:shd w:fill="EEF4FB" w:val="clear"/>
          </w:tcPr>
          <w:p>
            <w:r>
              <w:rPr>
                <w:rFonts w:ascii="Courier New" w:hAnsi="Courier New"/>
                <w:color w:val="C7254E"/>
                <w:sz w:val="19"/>
              </w:rPr>
              <w:t>Qdrant/bm25</w:t>
            </w:r>
          </w:p>
        </w:tc>
        <w:tc>
          <w:tcPr>
            <w:tcW w:type="dxa" w:w="2351"/>
            <w:shd w:fill="EEF4FB" w:val="clear"/>
          </w:tcPr>
          <w:p>
            <w:r>
              <w:rPr>
                <w:sz w:val="19"/>
              </w:rPr>
              <w:t>Sparse (fastembed)</w:t>
            </w:r>
          </w:p>
        </w:tc>
        <w:tc>
          <w:tcPr>
            <w:tcW w:type="dxa" w:w="2351"/>
            <w:shd w:fill="EEF4FB" w:val="clear"/>
          </w:tcPr>
          <w:p>
            <w:r>
              <w:rPr>
                <w:sz w:val="19"/>
              </w:rPr>
              <w:t>Variable</w:t>
            </w:r>
          </w:p>
        </w:tc>
        <w:tc>
          <w:tcPr>
            <w:tcW w:type="dxa" w:w="2351"/>
            <w:shd w:fill="EEF4FB" w:val="clear"/>
          </w:tcPr>
          <w:p>
            <w:r>
              <w:rPr>
                <w:sz w:val="19"/>
              </w:rPr>
              <w:t>Keyword matching — exact terms like regulation names</w:t>
            </w:r>
          </w:p>
        </w:tc>
      </w:tr>
    </w:tbl>
    <w:p/>
    <w:p>
      <w:pPr>
        <w:spacing w:after="120"/>
      </w:pPr>
      <w:r>
        <w:t>Both run locally on CPU — no GPU required, no external API calls for embedding.</w:t>
      </w:r>
    </w:p>
    <w:p>
      <w:pPr>
        <w:spacing w:after="120"/>
      </w:pPr>
      <w:r>
        <w:rPr>
          <w:b/>
        </w:rPr>
        <w:t>RRF Fusion</w:t>
      </w:r>
      <w:r>
        <w:t xml:space="preserve">: Reciprocal Rank Fusion combines dense and sparse result rankings into a single merged list. Formula: </w:t>
      </w:r>
      <w:r>
        <w:rPr>
          <w:rFonts w:ascii="Courier New" w:hAnsi="Courier New"/>
          <w:color w:val="C7254E"/>
          <w:sz w:val="18"/>
        </w:rPr>
        <w:t>score(doc) = Σ 1 / (rank + k)</w:t>
      </w:r>
      <w:r>
        <w:t xml:space="preserve"> where k=60.</w:t>
      </w:r>
    </w:p>
    <w:p>
      <w:pPr>
        <w:pStyle w:val="Heading3"/>
      </w:pPr>
      <w:r>
        <w:t>Prompt Engineering</w:t>
      </w:r>
    </w:p>
    <w:p>
      <w:pPr>
        <w:spacing w:after="120"/>
      </w:pPr>
      <w:r>
        <w:t xml:space="preserve">All system prompts are stored in </w:t>
      </w:r>
      <w:r>
        <w:rPr>
          <w:rFonts w:ascii="Courier New" w:hAnsi="Courier New"/>
          <w:color w:val="C7254E"/>
          <w:sz w:val="18"/>
        </w:rPr>
        <w:t>app/prompts/</w:t>
      </w:r>
      <w:r>
        <w:t xml:space="preserve"> as Python string constants. Key design principles:</w:t>
      </w:r>
    </w:p>
    <w:p>
      <w:pPr>
        <w:pStyle w:val="ListNumber"/>
      </w:pPr>
      <w:r>
        <w:rPr>
          <w:b/>
        </w:rPr>
        <w:t>Role clarity</w:t>
      </w:r>
      <w:r>
        <w:t>: Each prompt starts with a precise role definition ("You are the Compliance Auditor Agent...")</w:t>
      </w:r>
    </w:p>
    <w:p>
      <w:pPr>
        <w:pStyle w:val="ListNumber"/>
      </w:pPr>
      <w:r>
        <w:rPr>
          <w:b/>
        </w:rPr>
        <w:t>Output format specification</w:t>
      </w:r>
      <w:r>
        <w:t>: Every prompt specifies exact JSON output structure</w:t>
      </w:r>
    </w:p>
    <w:p>
      <w:pPr>
        <w:pStyle w:val="ListNumber"/>
      </w:pPr>
      <w:r>
        <w:rPr>
          <w:b/>
        </w:rPr>
        <w:t>Constraint enforcement</w:t>
      </w:r>
      <w:r>
        <w:t>: Critical rules listed explicitly (e.g., "Every legal conclusion MUST cite a specific retrieved chunk")</w:t>
      </w:r>
    </w:p>
    <w:p>
      <w:pPr>
        <w:pStyle w:val="ListNumber"/>
      </w:pPr>
      <w:r>
        <w:rPr>
          <w:b/>
        </w:rPr>
        <w:t>Hallucination prevention</w:t>
      </w:r>
      <w:r>
        <w:t>: Reasoning and citation prompts explicitly prohibit introducing information not in retrieved chunks</w:t>
      </w:r>
    </w:p>
    <w:p>
      <w:pPr>
        <w:pStyle w:val="ListNumber"/>
      </w:pPr>
      <w:r>
        <w:rPr>
          <w:b/>
        </w:rPr>
        <w:t>No redundancy</w:t>
      </w:r>
      <w:r>
        <w:t>: Agents are given only what they need — orchestrator does not reason, reasoning agent does not audit</w:t>
      </w:r>
    </w:p>
    <w:p>
      <w:pPr>
        <w:pStyle w:val="Heading3"/>
      </w:pPr>
      <w:r>
        <w:t>Hallucination Prevention Strategy</w:t>
      </w:r>
    </w:p>
    <w:p>
      <w:pPr>
        <w:spacing w:after="120"/>
      </w:pPr>
      <w:r>
        <w:t xml:space="preserve">The system uses a </w:t>
      </w:r>
      <w:r>
        <w:rPr>
          <w:b/>
        </w:rPr>
        <w:t>layered defense</w:t>
      </w:r>
      <w:r>
        <w:t>:</w:t>
      </w:r>
    </w:p>
    <w:p>
      <w:pPr>
        <w:pStyle w:val="ListNumber"/>
      </w:pPr>
      <w:r>
        <w:rPr>
          <w:b/>
        </w:rPr>
        <w:t>Retrieval-grounded prompts</w:t>
      </w:r>
      <w:r>
        <w:t>: Reasoning agent is explicitly told: "Never introduce regulatory knowledge not present in the retrieved chunks"</w:t>
      </w:r>
    </w:p>
    <w:p>
      <w:pPr>
        <w:pStyle w:val="ListNumber"/>
      </w:pPr>
      <w:r>
        <w:rPr>
          <w:b/>
        </w:rPr>
        <w:t>Citation Verifier</w:t>
      </w:r>
      <w:r>
        <w:t xml:space="preserve">: Dedicated agent cross-checks every claim against chunk evidence, produces </w:t>
      </w:r>
      <w:r>
        <w:rPr>
          <w:rFonts w:ascii="Courier New" w:hAnsi="Courier New"/>
          <w:color w:val="C7254E"/>
          <w:sz w:val="18"/>
        </w:rPr>
        <w:t>hallucination_risk</w:t>
      </w:r>
      <w:r>
        <w:t xml:space="preserve"> score and </w:t>
      </w:r>
      <w:r>
        <w:rPr>
          <w:rFonts w:ascii="Courier New" w:hAnsi="Courier New"/>
          <w:color w:val="C7254E"/>
          <w:sz w:val="18"/>
        </w:rPr>
        <w:t>overall_grounding_score</w:t>
      </w:r>
    </w:p>
    <w:p>
      <w:pPr>
        <w:pStyle w:val="ListNumber"/>
      </w:pPr>
      <w:r>
        <w:rPr>
          <w:b/>
        </w:rPr>
        <w:t>Critic adversarial review</w:t>
      </w:r>
      <w:r>
        <w:t>: Checks "Claims made with HIGH confidence that have MEDIUM or LOW citation grounding"</w:t>
      </w:r>
    </w:p>
    <w:p>
      <w:pPr>
        <w:pStyle w:val="ListNumber"/>
      </w:pPr>
      <w:r>
        <w:rPr>
          <w:b/>
        </w:rPr>
        <w:t>Stored evidence</w:t>
      </w:r>
      <w:r>
        <w:t>: All retrieved chunks are persisted in the audit record, making post-hoc verification possible</w:t>
      </w:r>
    </w:p>
    <w:p>
      <w:pPr>
        <w:pBdr>
          <w:bottom w:val="single" w:sz="4" w:space="1" w:color="CCCCCC"/>
        </w:pBdr>
      </w:pPr>
    </w:p>
    <w:p>
      <w:pPr>
        <w:pStyle w:val="Heading2"/>
      </w:pPr>
      <w:r>
        <w:t>9. API Documentation</w:t>
      </w:r>
    </w:p>
    <w:p>
      <w:pPr>
        <w:pStyle w:val="Heading3"/>
      </w:pPr>
      <w:r>
        <w:t>Base URL</w:t>
      </w:r>
    </w:p>
    <w:p>
      <w:pPr>
        <w:spacing w:before="80" w:after="80"/>
        <w:ind w:left="432"/>
        <w:shd w:fill="F0F4F8" w:val="clear"/>
      </w:pPr>
      <w:r>
        <w:rPr>
          <w:rFonts w:ascii="Courier New" w:hAnsi="Courier New"/>
          <w:color w:val="1F1F1F"/>
          <w:sz w:val="17"/>
        </w:rPr>
        <w:t>http://localhost:8000</w:t>
      </w:r>
    </w:p>
    <w:p>
      <w:pPr>
        <w:pBdr>
          <w:bottom w:val="single" w:sz="4" w:space="1" w:color="CCCCCC"/>
        </w:pBdr>
      </w:pPr>
    </w:p>
    <w:p>
      <w:pPr>
        <w:pStyle w:val="Heading3"/>
      </w:pPr>
      <w:r>
        <w:t>GET /health</w:t>
      </w:r>
    </w:p>
    <w:p>
      <w:pPr>
        <w:spacing w:after="120"/>
      </w:pPr>
      <w:r>
        <w:rPr>
          <w:b/>
        </w:rPr>
        <w:t>Purpose</w:t>
      </w:r>
      <w:r>
        <w:t>: Service liveness check.</w:t>
      </w:r>
    </w:p>
    <w:p>
      <w:pPr>
        <w:spacing w:after="120"/>
      </w:pPr>
      <w:r>
        <w:rPr>
          <w:b/>
        </w:rPr>
        <w:t>Response</w:t>
      </w:r>
      <w:r>
        <w:t>:</w:t>
      </w:r>
    </w:p>
    <w:p>
      <w:pPr>
        <w:spacing w:before="80" w:after="80"/>
        <w:ind w:left="432"/>
        <w:shd w:fill="F0F4F8" w:val="clear"/>
      </w:pPr>
      <w:r>
        <w:rPr>
          <w:rFonts w:ascii="Courier New" w:hAnsi="Courier New"/>
          <w:color w:val="1F1F1F"/>
          <w:sz w:val="17"/>
        </w:rPr>
        <w:t>{"status": "ok"}</w:t>
      </w:r>
    </w:p>
    <w:p>
      <w:pPr>
        <w:pBdr>
          <w:bottom w:val="single" w:sz="4" w:space="1" w:color="CCCCCC"/>
        </w:pBdr>
      </w:pPr>
    </w:p>
    <w:p>
      <w:pPr>
        <w:pStyle w:val="Heading3"/>
      </w:pPr>
      <w:r>
        <w:t>POST /regulations/upload</w:t>
      </w:r>
    </w:p>
    <w:p>
      <w:pPr>
        <w:spacing w:after="120"/>
      </w:pPr>
      <w:r>
        <w:rPr>
          <w:b/>
        </w:rPr>
        <w:t>Purpose</w:t>
      </w:r>
      <w:r>
        <w:t>: Ingest a regulatory PDF document into the knowledge base.</w:t>
      </w:r>
    </w:p>
    <w:p>
      <w:pPr>
        <w:spacing w:after="120"/>
      </w:pPr>
      <w:r>
        <w:rPr>
          <w:b/>
        </w:rPr>
        <w:t>Request</w:t>
      </w:r>
      <w:r>
        <w:t xml:space="preserve">: </w:t>
      </w:r>
      <w:r>
        <w:rPr>
          <w:rFonts w:ascii="Courier New" w:hAnsi="Courier New"/>
          <w:color w:val="C7254E"/>
          <w:sz w:val="18"/>
        </w:rPr>
        <w:t>multipart/form-data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E569A" w:val="clear"/>
          </w:tcPr>
          <w:p>
            <w:r>
              <w:rPr>
                <w:b/>
                <w:color w:val="FFFFFF"/>
                <w:sz w:val="19"/>
              </w:rPr>
              <w:t>Field</w:t>
            </w:r>
          </w:p>
        </w:tc>
        <w:tc>
          <w:tcPr>
            <w:tcW w:type="dxa" w:w="2351"/>
            <w:shd w:fill="1E569A" w:val="clear"/>
          </w:tcPr>
          <w:p>
            <w:r>
              <w:rPr>
                <w:b/>
                <w:color w:val="FFFFFF"/>
                <w:sz w:val="19"/>
              </w:rPr>
              <w:t>Type</w:t>
            </w:r>
          </w:p>
        </w:tc>
        <w:tc>
          <w:tcPr>
            <w:tcW w:type="dxa" w:w="2351"/>
            <w:shd w:fill="1E569A" w:val="clear"/>
          </w:tcPr>
          <w:p>
            <w:r>
              <w:rPr>
                <w:b/>
                <w:color w:val="FFFFFF"/>
                <w:sz w:val="19"/>
              </w:rPr>
              <w:t>Required</w:t>
            </w:r>
          </w:p>
        </w:tc>
        <w:tc>
          <w:tcPr>
            <w:tcW w:type="dxa" w:w="2351"/>
            <w:shd w:fill="1E569A" w:val="clear"/>
          </w:tcPr>
          <w:p>
            <w:r>
              <w:rPr>
                <w:b/>
                <w:color w:val="FFFFFF"/>
                <w:sz w:val="19"/>
              </w:rPr>
              <w:t>Description</w:t>
            </w:r>
          </w:p>
        </w:tc>
      </w:tr>
      <w:tr>
        <w:tc>
          <w:tcPr>
            <w:tcW w:type="dxa" w:w="2351"/>
          </w:tcPr>
          <w:p>
            <w:r>
              <w:rPr>
                <w:rFonts w:ascii="Courier New" w:hAnsi="Courier New"/>
                <w:color w:val="C7254E"/>
                <w:sz w:val="19"/>
              </w:rPr>
              <w:t>file</w:t>
            </w:r>
          </w:p>
        </w:tc>
        <w:tc>
          <w:tcPr>
            <w:tcW w:type="dxa" w:w="2351"/>
          </w:tcPr>
          <w:p>
            <w:r>
              <w:rPr>
                <w:sz w:val="19"/>
              </w:rPr>
              <w:t>File (PDF)</w:t>
            </w:r>
          </w:p>
        </w:tc>
        <w:tc>
          <w:tcPr>
            <w:tcW w:type="dxa" w:w="2351"/>
          </w:tcPr>
          <w:p>
            <w:r>
              <w:rPr>
                <w:sz w:val="19"/>
              </w:rPr>
              <w:t>Yes</w:t>
            </w:r>
          </w:p>
        </w:tc>
        <w:tc>
          <w:tcPr>
            <w:tcW w:type="dxa" w:w="2351"/>
          </w:tcPr>
          <w:p>
            <w:r>
              <w:rPr>
                <w:sz w:val="19"/>
              </w:rPr>
              <w:t>The regulation PDF</w:t>
            </w:r>
          </w:p>
        </w:tc>
      </w:tr>
      <w:tr>
        <w:tc>
          <w:tcPr>
            <w:tcW w:type="dxa" w:w="2351"/>
            <w:shd w:fill="EEF4FB" w:val="clear"/>
          </w:tcPr>
          <w:p>
            <w:r>
              <w:rPr>
                <w:rFonts w:ascii="Courier New" w:hAnsi="Courier New"/>
                <w:color w:val="C7254E"/>
                <w:sz w:val="19"/>
              </w:rPr>
              <w:t>regulator</w:t>
            </w:r>
          </w:p>
        </w:tc>
        <w:tc>
          <w:tcPr>
            <w:tcW w:type="dxa" w:w="2351"/>
            <w:shd w:fill="EEF4FB" w:val="clear"/>
          </w:tcPr>
          <w:p>
            <w:r>
              <w:rPr>
                <w:sz w:val="19"/>
              </w:rPr>
              <w:t>string</w:t>
            </w:r>
          </w:p>
        </w:tc>
        <w:tc>
          <w:tcPr>
            <w:tcW w:type="dxa" w:w="2351"/>
            <w:shd w:fill="EEF4FB" w:val="clear"/>
          </w:tcPr>
          <w:p>
            <w:r>
              <w:rPr>
                <w:sz w:val="19"/>
              </w:rPr>
              <w:t>Yes</w:t>
            </w:r>
          </w:p>
        </w:tc>
        <w:tc>
          <w:tcPr>
            <w:tcW w:type="dxa" w:w="2351"/>
            <w:shd w:fill="EEF4FB" w:val="clear"/>
          </w:tcPr>
          <w:p>
            <w:r>
              <w:rPr>
                <w:sz w:val="19"/>
              </w:rPr>
              <w:t xml:space="preserve">e.g., </w:t>
            </w:r>
            <w:r>
              <w:rPr>
                <w:rFonts w:ascii="Courier New" w:hAnsi="Courier New"/>
                <w:color w:val="C7254E"/>
                <w:sz w:val="19"/>
              </w:rPr>
              <w:t>CBN</w:t>
            </w:r>
            <w:r>
              <w:rPr>
                <w:sz w:val="19"/>
              </w:rPr>
              <w:t xml:space="preserve">, </w:t>
            </w:r>
            <w:r>
              <w:rPr>
                <w:rFonts w:ascii="Courier New" w:hAnsi="Courier New"/>
                <w:color w:val="C7254E"/>
                <w:sz w:val="19"/>
              </w:rPr>
              <w:t>SEC</w:t>
            </w:r>
            <w:r>
              <w:rPr>
                <w:sz w:val="19"/>
              </w:rPr>
              <w:t xml:space="preserve">, </w:t>
            </w:r>
            <w:r>
              <w:rPr>
                <w:rFonts w:ascii="Courier New" w:hAnsi="Courier New"/>
                <w:color w:val="C7254E"/>
                <w:sz w:val="19"/>
              </w:rPr>
              <w:t>NDIC</w:t>
            </w:r>
            <w:r>
              <w:rPr>
                <w:sz w:val="19"/>
              </w:rPr>
              <w:t xml:space="preserve">, </w:t>
            </w:r>
            <w:r>
              <w:rPr>
                <w:rFonts w:ascii="Courier New" w:hAnsi="Courier New"/>
                <w:color w:val="C7254E"/>
                <w:sz w:val="19"/>
              </w:rPr>
              <w:t>FIRS</w:t>
            </w:r>
          </w:p>
        </w:tc>
      </w:tr>
      <w:tr>
        <w:tc>
          <w:tcPr>
            <w:tcW w:type="dxa" w:w="2351"/>
          </w:tcPr>
          <w:p>
            <w:r>
              <w:rPr>
                <w:rFonts w:ascii="Courier New" w:hAnsi="Courier New"/>
                <w:color w:val="C7254E"/>
                <w:sz w:val="19"/>
              </w:rPr>
              <w:t>document_type</w:t>
            </w:r>
          </w:p>
        </w:tc>
        <w:tc>
          <w:tcPr>
            <w:tcW w:type="dxa" w:w="2351"/>
          </w:tcPr>
          <w:p>
            <w:r>
              <w:rPr>
                <w:sz w:val="19"/>
              </w:rPr>
              <w:t>string</w:t>
            </w:r>
          </w:p>
        </w:tc>
        <w:tc>
          <w:tcPr>
            <w:tcW w:type="dxa" w:w="2351"/>
          </w:tcPr>
          <w:p>
            <w:r>
              <w:rPr>
                <w:sz w:val="19"/>
              </w:rPr>
              <w:t>Yes</w:t>
            </w:r>
          </w:p>
        </w:tc>
        <w:tc>
          <w:tcPr>
            <w:tcW w:type="dxa" w:w="2351"/>
          </w:tcPr>
          <w:p>
            <w:r>
              <w:rPr>
                <w:sz w:val="19"/>
              </w:rPr>
              <w:t xml:space="preserve">e.g., </w:t>
            </w:r>
            <w:r>
              <w:rPr>
                <w:rFonts w:ascii="Courier New" w:hAnsi="Courier New"/>
                <w:color w:val="C7254E"/>
                <w:sz w:val="19"/>
              </w:rPr>
              <w:t>Regulation</w:t>
            </w:r>
            <w:r>
              <w:rPr>
                <w:sz w:val="19"/>
              </w:rPr>
              <w:t xml:space="preserve">, </w:t>
            </w:r>
            <w:r>
              <w:rPr>
                <w:rFonts w:ascii="Courier New" w:hAnsi="Courier New"/>
                <w:color w:val="C7254E"/>
                <w:sz w:val="19"/>
              </w:rPr>
              <w:t>Circular</w:t>
            </w:r>
            <w:r>
              <w:rPr>
                <w:sz w:val="19"/>
              </w:rPr>
              <w:t xml:space="preserve">, </w:t>
            </w:r>
            <w:r>
              <w:rPr>
                <w:rFonts w:ascii="Courier New" w:hAnsi="Courier New"/>
                <w:color w:val="C7254E"/>
                <w:sz w:val="19"/>
              </w:rPr>
              <w:t>Act</w:t>
            </w:r>
            <w:r>
              <w:rPr>
                <w:sz w:val="19"/>
              </w:rPr>
              <w:t xml:space="preserve">, </w:t>
            </w:r>
            <w:r>
              <w:rPr>
                <w:rFonts w:ascii="Courier New" w:hAnsi="Courier New"/>
                <w:color w:val="C7254E"/>
                <w:sz w:val="19"/>
              </w:rPr>
              <w:t>Guideline</w:t>
            </w:r>
          </w:p>
        </w:tc>
      </w:tr>
      <w:tr>
        <w:tc>
          <w:tcPr>
            <w:tcW w:type="dxa" w:w="2351"/>
            <w:shd w:fill="EEF4FB" w:val="clear"/>
          </w:tcPr>
          <w:p>
            <w:r>
              <w:rPr>
                <w:rFonts w:ascii="Courier New" w:hAnsi="Courier New"/>
                <w:color w:val="C7254E"/>
                <w:sz w:val="19"/>
              </w:rPr>
              <w:t>issued_date</w:t>
            </w:r>
          </w:p>
        </w:tc>
        <w:tc>
          <w:tcPr>
            <w:tcW w:type="dxa" w:w="2351"/>
            <w:shd w:fill="EEF4FB" w:val="clear"/>
          </w:tcPr>
          <w:p>
            <w:r>
              <w:rPr>
                <w:sz w:val="19"/>
              </w:rPr>
              <w:t>string</w:t>
            </w:r>
          </w:p>
        </w:tc>
        <w:tc>
          <w:tcPr>
            <w:tcW w:type="dxa" w:w="2351"/>
            <w:shd w:fill="EEF4FB" w:val="clear"/>
          </w:tcPr>
          <w:p>
            <w:r>
              <w:rPr>
                <w:sz w:val="19"/>
              </w:rPr>
              <w:t>No</w:t>
            </w:r>
          </w:p>
        </w:tc>
        <w:tc>
          <w:tcPr>
            <w:tcW w:type="dxa" w:w="2351"/>
            <w:shd w:fill="EEF4FB" w:val="clear"/>
          </w:tcPr>
          <w:p>
            <w:r>
              <w:rPr>
                <w:sz w:val="19"/>
              </w:rPr>
              <w:t xml:space="preserve">ISO date, e.g., </w:t>
            </w:r>
            <w:r>
              <w:rPr>
                <w:rFonts w:ascii="Courier New" w:hAnsi="Courier New"/>
                <w:color w:val="C7254E"/>
                <w:sz w:val="19"/>
              </w:rPr>
              <w:t>2024-03-15</w:t>
            </w:r>
            <w:r>
              <w:rPr>
                <w:sz w:val="19"/>
              </w:rPr>
              <w:t xml:space="preserve"> — used for freshness scoring</w:t>
            </w:r>
          </w:p>
        </w:tc>
      </w:tr>
      <w:tr>
        <w:tc>
          <w:tcPr>
            <w:tcW w:type="dxa" w:w="2351"/>
          </w:tcPr>
          <w:p>
            <w:r>
              <w:rPr>
                <w:rFonts w:ascii="Courier New" w:hAnsi="Courier New"/>
                <w:color w:val="C7254E"/>
                <w:sz w:val="19"/>
              </w:rPr>
              <w:t>notes</w:t>
            </w:r>
          </w:p>
        </w:tc>
        <w:tc>
          <w:tcPr>
            <w:tcW w:type="dxa" w:w="2351"/>
          </w:tcPr>
          <w:p>
            <w:r>
              <w:rPr>
                <w:sz w:val="19"/>
              </w:rPr>
              <w:t>string</w:t>
            </w:r>
          </w:p>
        </w:tc>
        <w:tc>
          <w:tcPr>
            <w:tcW w:type="dxa" w:w="2351"/>
          </w:tcPr>
          <w:p>
            <w:r>
              <w:rPr>
                <w:sz w:val="19"/>
              </w:rPr>
              <w:t>No</w:t>
            </w:r>
          </w:p>
        </w:tc>
        <w:tc>
          <w:tcPr>
            <w:tcW w:type="dxa" w:w="2351"/>
          </w:tcPr>
          <w:p>
            <w:r>
              <w:rPr>
                <w:sz w:val="19"/>
              </w:rPr>
              <w:t>Optional operator notes</w:t>
            </w:r>
          </w:p>
        </w:tc>
      </w:tr>
    </w:tbl>
    <w:p/>
    <w:p>
      <w:pPr>
        <w:spacing w:after="120"/>
      </w:pPr>
      <w:r>
        <w:rPr>
          <w:b/>
        </w:rPr>
        <w:t>Example</w:t>
      </w:r>
      <w:r>
        <w:t>:</w:t>
      </w:r>
    </w:p>
    <w:p>
      <w:pPr>
        <w:spacing w:before="80" w:after="80"/>
        <w:ind w:left="432"/>
        <w:shd w:fill="F0F4F8" w:val="clear"/>
      </w:pPr>
      <w:r>
        <w:rPr>
          <w:rFonts w:ascii="Courier New" w:hAnsi="Courier New"/>
          <w:color w:val="1F1F1F"/>
          <w:sz w:val="17"/>
        </w:rPr>
        <w:t>curl -X POST http://localhost:8000/regulations/upload \</w:t>
        <w:br/>
        <w:t xml:space="preserve">  -F "file=@CBN_Consumer_Protection.pdf" \</w:t>
        <w:br/>
        <w:t xml:space="preserve">  -F "regulator=CBN" \</w:t>
        <w:br/>
        <w:t xml:space="preserve">  -F "document_type=Regulation" \</w:t>
        <w:br/>
        <w:t xml:space="preserve">  -F "issued_date=2019-12-20"</w:t>
      </w:r>
    </w:p>
    <w:p>
      <w:pPr>
        <w:spacing w:after="120"/>
      </w:pPr>
      <w:r>
        <w:rPr>
          <w:b/>
        </w:rPr>
        <w:t>Success Response</w:t>
      </w:r>
      <w:r>
        <w:t xml:space="preserve"> (HTTP 201):</w:t>
      </w:r>
    </w:p>
    <w:p>
      <w:pPr>
        <w:spacing w:before="80" w:after="80"/>
        <w:ind w:left="432"/>
        <w:shd w:fill="F0F4F8" w:val="clear"/>
      </w:pPr>
      <w:r>
        <w:rPr>
          <w:rFonts w:ascii="Courier New" w:hAnsi="Courier New"/>
          <w:color w:val="1F1F1F"/>
          <w:sz w:val="17"/>
        </w:rPr>
        <w:t>{</w:t>
        <w:br/>
        <w:t xml:space="preserve">  "message": "Document ingested successfully",</w:t>
        <w:br/>
        <w:t xml:space="preserve">  "file_name": "CBN_Consumer_Protection.pdf",</w:t>
        <w:br/>
        <w:t xml:space="preserve">  "regulator": "CBN",</w:t>
        <w:br/>
        <w:t xml:space="preserve">  "document_type": "Regulation",</w:t>
        <w:br/>
        <w:t xml:space="preserve">  "total_pages": 45,</w:t>
        <w:br/>
        <w:t xml:space="preserve">  "chunks_ingested": 19</w:t>
        <w:br/>
        <w:t>}</w:t>
      </w:r>
    </w:p>
    <w:p>
      <w:pPr>
        <w:spacing w:after="120"/>
      </w:pPr>
      <w:r>
        <w:rPr>
          <w:b/>
        </w:rPr>
        <w:t>Error Responses</w:t>
      </w:r>
      <w:r>
        <w:t>:</w:t>
      </w:r>
    </w:p>
    <w:p>
      <w:pPr>
        <w:pStyle w:val="ListBullet"/>
      </w:pPr>
      <w:r>
        <w:rPr>
          <w:rFonts w:ascii="Courier New" w:hAnsi="Courier New"/>
          <w:color w:val="C7254E"/>
          <w:sz w:val="18"/>
        </w:rPr>
        <w:t>400</w:t>
      </w:r>
      <w:r>
        <w:t>: Non-PDF file uploaded</w:t>
      </w:r>
    </w:p>
    <w:p>
      <w:pPr>
        <w:pStyle w:val="ListBullet"/>
      </w:pPr>
      <w:r>
        <w:rPr>
          <w:rFonts w:ascii="Courier New" w:hAnsi="Courier New"/>
          <w:color w:val="C7254E"/>
          <w:sz w:val="18"/>
        </w:rPr>
        <w:t>409</w:t>
      </w:r>
      <w:r>
        <w:t>: Document with identical content already ingested</w:t>
      </w:r>
    </w:p>
    <w:p>
      <w:pPr>
        <w:pStyle w:val="ListBullet"/>
      </w:pPr>
      <w:r>
        <w:rPr>
          <w:rFonts w:ascii="Courier New" w:hAnsi="Courier New"/>
          <w:color w:val="C7254E"/>
          <w:sz w:val="18"/>
        </w:rPr>
        <w:t>422</w:t>
      </w:r>
      <w:r>
        <w:t>: Missing required fields</w:t>
      </w:r>
    </w:p>
    <w:p>
      <w:pPr>
        <w:pStyle w:val="ListBullet"/>
      </w:pPr>
      <w:r>
        <w:rPr>
          <w:rFonts w:ascii="Courier New" w:hAnsi="Courier New"/>
          <w:color w:val="C7254E"/>
          <w:sz w:val="18"/>
        </w:rPr>
        <w:t>500</w:t>
      </w:r>
      <w:r>
        <w:t>: Parse error or embedding failure</w:t>
      </w:r>
    </w:p>
    <w:p>
      <w:pPr>
        <w:spacing w:after="120"/>
      </w:pPr>
      <w:r>
        <w:rPr>
          <w:b/>
        </w:rPr>
        <w:t>Internal Flow</w:t>
      </w:r>
      <w:r>
        <w:t>:</w:t>
      </w:r>
    </w:p>
    <w:p>
      <w:pPr>
        <w:pStyle w:val="ListNumber"/>
      </w:pPr>
      <w:r>
        <w:t xml:space="preserve">Validate </w:t>
      </w:r>
      <w:r>
        <w:rPr>
          <w:rFonts w:ascii="Courier New" w:hAnsi="Courier New"/>
          <w:color w:val="C7254E"/>
          <w:sz w:val="18"/>
        </w:rPr>
        <w:t>content_type == "application/pdf"</w:t>
      </w:r>
    </w:p>
    <w:p>
      <w:pPr>
        <w:pStyle w:val="ListNumber"/>
      </w:pPr>
      <w:r>
        <w:t xml:space="preserve">Compute SHA-256 hash; reject if already in </w:t>
      </w:r>
      <w:r>
        <w:rPr>
          <w:rFonts w:ascii="Courier New" w:hAnsi="Courier New"/>
          <w:color w:val="C7254E"/>
          <w:sz w:val="18"/>
        </w:rPr>
        <w:t>documents</w:t>
      </w:r>
      <w:r>
        <w:t xml:space="preserve"> table</w:t>
      </w:r>
    </w:p>
    <w:p>
      <w:pPr>
        <w:pStyle w:val="ListNumber"/>
      </w:pPr>
      <w:r>
        <w:t>Write to temp file (parsers need file path)</w:t>
      </w:r>
    </w:p>
    <w:p>
      <w:pPr>
        <w:pStyle w:val="ListNumber"/>
      </w:pPr>
      <w:r>
        <w:rPr>
          <w:rFonts w:ascii="Courier New" w:hAnsi="Courier New"/>
          <w:color w:val="C7254E"/>
          <w:sz w:val="18"/>
        </w:rPr>
        <w:t>IngestionService.ingest()</w:t>
      </w:r>
      <w:r>
        <w:t xml:space="preserve"> → parse → chunk → embed (dense + sparse) → upsert to Qdrant</w:t>
      </w:r>
    </w:p>
    <w:p>
      <w:pPr>
        <w:pStyle w:val="ListNumber"/>
      </w:pPr>
      <w:r>
        <w:rPr>
          <w:rFonts w:ascii="Courier New" w:hAnsi="Courier New"/>
          <w:color w:val="C7254E"/>
          <w:sz w:val="18"/>
        </w:rPr>
        <w:t>DocumentRepository.save()</w:t>
      </w:r>
      <w:r>
        <w:t xml:space="preserve"> → write to PostgreSQL</w:t>
      </w:r>
    </w:p>
    <w:p>
      <w:pPr>
        <w:pStyle w:val="ListNumber"/>
      </w:pPr>
      <w:r>
        <w:t>Delete temp file</w:t>
      </w:r>
    </w:p>
    <w:p>
      <w:pPr>
        <w:pBdr>
          <w:bottom w:val="single" w:sz="4" w:space="1" w:color="CCCCCC"/>
        </w:pBdr>
      </w:pPr>
    </w:p>
    <w:p>
      <w:pPr>
        <w:pStyle w:val="Heading3"/>
      </w:pPr>
      <w:r>
        <w:t>POST /analysis/analyze-business</w:t>
      </w:r>
    </w:p>
    <w:p>
      <w:pPr>
        <w:spacing w:after="120"/>
      </w:pPr>
      <w:r>
        <w:rPr>
          <w:b/>
        </w:rPr>
        <w:t>Purpose</w:t>
      </w:r>
      <w:r>
        <w:t>: The core endpoint. Submits a compliance/regulatory question and receives a structured analysis report.</w:t>
      </w:r>
    </w:p>
    <w:p>
      <w:pPr>
        <w:spacing w:after="120"/>
      </w:pPr>
      <w:r>
        <w:rPr>
          <w:b/>
        </w:rPr>
        <w:t>Request</w:t>
      </w:r>
      <w:r>
        <w:t xml:space="preserve">: </w:t>
      </w:r>
      <w:r>
        <w:rPr>
          <w:rFonts w:ascii="Courier New" w:hAnsi="Courier New"/>
          <w:color w:val="C7254E"/>
          <w:sz w:val="18"/>
        </w:rPr>
        <w:t>application/json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E569A" w:val="clear"/>
          </w:tcPr>
          <w:p>
            <w:r>
              <w:rPr>
                <w:b/>
                <w:color w:val="FFFFFF"/>
                <w:sz w:val="19"/>
              </w:rPr>
              <w:t>Field</w:t>
            </w:r>
          </w:p>
        </w:tc>
        <w:tc>
          <w:tcPr>
            <w:tcW w:type="dxa" w:w="2351"/>
            <w:shd w:fill="1E569A" w:val="clear"/>
          </w:tcPr>
          <w:p>
            <w:r>
              <w:rPr>
                <w:b/>
                <w:color w:val="FFFFFF"/>
                <w:sz w:val="19"/>
              </w:rPr>
              <w:t>Type</w:t>
            </w:r>
          </w:p>
        </w:tc>
        <w:tc>
          <w:tcPr>
            <w:tcW w:type="dxa" w:w="2351"/>
            <w:shd w:fill="1E569A" w:val="clear"/>
          </w:tcPr>
          <w:p>
            <w:r>
              <w:rPr>
                <w:b/>
                <w:color w:val="FFFFFF"/>
                <w:sz w:val="19"/>
              </w:rPr>
              <w:t>Required</w:t>
            </w:r>
          </w:p>
        </w:tc>
        <w:tc>
          <w:tcPr>
            <w:tcW w:type="dxa" w:w="2351"/>
            <w:shd w:fill="1E569A" w:val="clear"/>
          </w:tcPr>
          <w:p>
            <w:r>
              <w:rPr>
                <w:b/>
                <w:color w:val="FFFFFF"/>
                <w:sz w:val="19"/>
              </w:rPr>
              <w:t>Description</w:t>
            </w:r>
          </w:p>
        </w:tc>
      </w:tr>
      <w:tr>
        <w:tc>
          <w:tcPr>
            <w:tcW w:type="dxa" w:w="2351"/>
          </w:tcPr>
          <w:p>
            <w:r>
              <w:rPr>
                <w:rFonts w:ascii="Courier New" w:hAnsi="Courier New"/>
                <w:color w:val="C7254E"/>
                <w:sz w:val="19"/>
              </w:rPr>
              <w:t>query</w:t>
            </w:r>
          </w:p>
        </w:tc>
        <w:tc>
          <w:tcPr>
            <w:tcW w:type="dxa" w:w="2351"/>
          </w:tcPr>
          <w:p>
            <w:r>
              <w:rPr>
                <w:sz w:val="19"/>
              </w:rPr>
              <w:t>string</w:t>
            </w:r>
          </w:p>
        </w:tc>
        <w:tc>
          <w:tcPr>
            <w:tcW w:type="dxa" w:w="2351"/>
          </w:tcPr>
          <w:p>
            <w:r>
              <w:rPr>
                <w:sz w:val="19"/>
              </w:rPr>
              <w:t>Yes</w:t>
            </w:r>
          </w:p>
        </w:tc>
        <w:tc>
          <w:tcPr>
            <w:tcW w:type="dxa" w:w="2351"/>
          </w:tcPr>
          <w:p>
            <w:r>
              <w:rPr>
                <w:sz w:val="19"/>
              </w:rPr>
              <w:t>The regulatory question or business description</w:t>
            </w:r>
          </w:p>
        </w:tc>
      </w:tr>
      <w:tr>
        <w:tc>
          <w:tcPr>
            <w:tcW w:type="dxa" w:w="2351"/>
            <w:shd w:fill="EEF4FB" w:val="clear"/>
          </w:tcPr>
          <w:p>
            <w:r>
              <w:rPr>
                <w:rFonts w:ascii="Courier New" w:hAnsi="Courier New"/>
                <w:color w:val="C7254E"/>
                <w:sz w:val="19"/>
              </w:rPr>
              <w:t>session_id</w:t>
            </w:r>
          </w:p>
        </w:tc>
        <w:tc>
          <w:tcPr>
            <w:tcW w:type="dxa" w:w="2351"/>
            <w:shd w:fill="EEF4FB" w:val="clear"/>
          </w:tcPr>
          <w:p>
            <w:r>
              <w:rPr>
                <w:sz w:val="19"/>
              </w:rPr>
              <w:t>string (UUID)</w:t>
            </w:r>
          </w:p>
        </w:tc>
        <w:tc>
          <w:tcPr>
            <w:tcW w:type="dxa" w:w="2351"/>
            <w:shd w:fill="EEF4FB" w:val="clear"/>
          </w:tcPr>
          <w:p>
            <w:r>
              <w:rPr>
                <w:sz w:val="19"/>
              </w:rPr>
              <w:t>No</w:t>
            </w:r>
          </w:p>
        </w:tc>
        <w:tc>
          <w:tcPr>
            <w:tcW w:type="dxa" w:w="2351"/>
            <w:shd w:fill="EEF4FB" w:val="clear"/>
          </w:tcPr>
          <w:p>
            <w:r>
              <w:rPr>
                <w:sz w:val="19"/>
              </w:rPr>
              <w:t>Link this analysis to an existing session; generated if absent</w:t>
            </w:r>
          </w:p>
        </w:tc>
      </w:tr>
      <w:tr>
        <w:tc>
          <w:tcPr>
            <w:tcW w:type="dxa" w:w="2351"/>
          </w:tcPr>
          <w:p>
            <w:r>
              <w:rPr>
                <w:rFonts w:ascii="Courier New" w:hAnsi="Courier New"/>
                <w:color w:val="C7254E"/>
                <w:sz w:val="19"/>
              </w:rPr>
              <w:t>organization_context</w:t>
            </w:r>
          </w:p>
        </w:tc>
        <w:tc>
          <w:tcPr>
            <w:tcW w:type="dxa" w:w="2351"/>
          </w:tcPr>
          <w:p>
            <w:r>
              <w:rPr>
                <w:sz w:val="19"/>
              </w:rPr>
              <w:t>string</w:t>
            </w:r>
          </w:p>
        </w:tc>
        <w:tc>
          <w:tcPr>
            <w:tcW w:type="dxa" w:w="2351"/>
          </w:tcPr>
          <w:p>
            <w:r>
              <w:rPr>
                <w:sz w:val="19"/>
              </w:rPr>
              <w:t>No</w:t>
            </w:r>
          </w:p>
        </w:tc>
        <w:tc>
          <w:tcPr>
            <w:tcW w:type="dxa" w:w="2351"/>
          </w:tcPr>
          <w:p>
            <w:r>
              <w:rPr>
                <w:sz w:val="19"/>
              </w:rPr>
              <w:t>Business description to give agents context</w:t>
            </w:r>
          </w:p>
        </w:tc>
      </w:tr>
    </w:tbl>
    <w:p/>
    <w:p>
      <w:pPr>
        <w:spacing w:after="120"/>
      </w:pPr>
      <w:r>
        <w:rPr>
          <w:b/>
        </w:rPr>
        <w:t>Example</w:t>
      </w:r>
      <w:r>
        <w:t>:</w:t>
      </w:r>
    </w:p>
    <w:p>
      <w:pPr>
        <w:spacing w:before="80" w:after="80"/>
        <w:ind w:left="432"/>
        <w:shd w:fill="F0F4F8" w:val="clear"/>
      </w:pPr>
      <w:r>
        <w:rPr>
          <w:rFonts w:ascii="Courier New" w:hAnsi="Courier New"/>
          <w:color w:val="1F1F1F"/>
          <w:sz w:val="17"/>
        </w:rPr>
        <w:t>curl -X POST http://localhost:8000/analysis/analyze-business \</w:t>
        <w:br/>
        <w:t xml:space="preserve">  -H "Content-Type: application/json" \</w:t>
        <w:br/>
        <w:t xml:space="preserve">  -d '{</w:t>
        <w:br/>
        <w:t xml:space="preserve">    "query": "What CBN obligations apply to a mobile wallet offering micro-investments?",</w:t>
        <w:br/>
        <w:t xml:space="preserve">    "organization_context": "Fintech startup targeting retail customers",</w:t>
        <w:br/>
        <w:t xml:space="preserve">    "session_id": "550e8400-e29b-41d4-a716-446655440000"</w:t>
        <w:br/>
        <w:t xml:space="preserve">  }'</w:t>
      </w:r>
    </w:p>
    <w:p>
      <w:pPr>
        <w:spacing w:after="120"/>
      </w:pPr>
      <w:r>
        <w:rPr>
          <w:b/>
        </w:rPr>
        <w:t>Success Response</w:t>
      </w:r>
      <w:r>
        <w:t xml:space="preserve"> (HTTP 200):</w:t>
      </w:r>
    </w:p>
    <w:p>
      <w:pPr>
        <w:spacing w:before="80" w:after="80"/>
        <w:ind w:left="432"/>
        <w:shd w:fill="F0F4F8" w:val="clear"/>
      </w:pPr>
      <w:r>
        <w:rPr>
          <w:rFonts w:ascii="Courier New" w:hAnsi="Courier New"/>
          <w:color w:val="1F1F1F"/>
          <w:sz w:val="17"/>
        </w:rPr>
        <w:t>{</w:t>
        <w:br/>
        <w:t xml:space="preserve">  "audit_id": "a040e06d-ec99-4f6f-8ee0-3540463adeb0",</w:t>
        <w:br/>
        <w:t xml:space="preserve">  "session_id": "550e8400-e29b-41d4-a716-446655440000",</w:t>
        <w:br/>
        <w:t xml:space="preserve">  "query": "What CBN obligations apply to a mobile wallet offering micro-investments?",</w:t>
        <w:br/>
        <w:t xml:space="preserve">  "final_report": {</w:t>
        <w:br/>
        <w:t xml:space="preserve">    "query": "...",</w:t>
        <w:br/>
        <w:t xml:space="preserve">    "executive_summary": "...",</w:t>
        <w:br/>
        <w:t xml:space="preserve">    "obligations": [</w:t>
        <w:br/>
        <w:t xml:space="preserve">      {"description": "...", "citation": "CBN Consumer Protection Regulations, Part Four", "regulator": "CBN"}</w:t>
        <w:br/>
        <w:t xml:space="preserve">    ],</w:t>
        <w:br/>
        <w:t xml:space="preserve">    "prohibitions": [...],</w:t>
        <w:br/>
        <w:t xml:space="preserve">    "permissions": [...],</w:t>
        <w:br/>
        <w:t xml:space="preserve">    "conflicts": [...],</w:t>
        <w:br/>
        <w:t xml:space="preserve">    "compliance_gaps": [...],</w:t>
        <w:br/>
        <w:t xml:space="preserve">    "compliance_checklist": [</w:t>
        <w:br/>
        <w:t xml:space="preserve">      {"requirement": "...", "status": "UNMET", "citation": "...", "notes": "..."}</w:t>
        <w:br/>
        <w:t xml:space="preserve">    ],</w:t>
        <w:br/>
        <w:t xml:space="preserve">    "licensing_requirements": [...],</w:t>
        <w:br/>
        <w:t xml:space="preserve">    "recommendations": [...],</w:t>
        <w:br/>
        <w:t xml:space="preserve">    "risk_score": 7,</w:t>
        <w:br/>
        <w:t xml:space="preserve">    "risk_level": "HIGH",</w:t>
        <w:br/>
        <w:t xml:space="preserve">    "citations": [</w:t>
        <w:br/>
        <w:t xml:space="preserve">      {</w:t>
        <w:br/>
        <w:t xml:space="preserve">        "citation_string": "CBN | CBN Consumer Protection Regulations.pdf | PART FOUR | Page 22",</w:t>
        <w:br/>
        <w:t xml:space="preserve">        "document": "CBN Consumer Protection Regulations.pdf",</w:t>
        <w:br/>
        <w:t xml:space="preserve">        "section": "PART FOUR",</w:t>
        <w:br/>
        <w:t xml:space="preserve">        "page": 22,</w:t>
        <w:br/>
        <w:t xml:space="preserve">        "regulator": "CBN",</w:t>
        <w:br/>
        <w:t xml:space="preserve">        "text_excerpt": "..."</w:t>
        <w:br/>
        <w:t xml:space="preserve">      }</w:t>
        <w:br/>
        <w:t xml:space="preserve">    ]</w:t>
        <w:br/>
        <w:t xml:space="preserve">  },</w:t>
        <w:br/>
        <w:t xml:space="preserve">  "agent_trace": [</w:t>
        <w:br/>
        <w:t xml:space="preserve">    {"agent": "orchestrator", "status": "completed"},</w:t>
        <w:br/>
        <w:t xml:space="preserve">    {"agent": "jurisdiction_mapper", "status": "completed"},</w:t>
        <w:br/>
        <w:t xml:space="preserve">    {"agent": "researcher", "status": "completed"},</w:t>
        <w:br/>
        <w:t xml:space="preserve">    {"agent": "reasoning", "status": "completed"},</w:t>
        <w:br/>
        <w:t xml:space="preserve">    {"agent": "auditor", "status": "completed"},</w:t>
        <w:br/>
        <w:t xml:space="preserve">    {"agent": "citation_verifier", "status": "completed"},</w:t>
        <w:br/>
        <w:t xml:space="preserve">    {"agent": "critic", "status": "completed"}</w:t>
        <w:br/>
        <w:t xml:space="preserve">  ],</w:t>
        <w:br/>
        <w:t xml:space="preserve">  "duration_ms": 106474</w:t>
        <w:br/>
        <w:t>}</w:t>
      </w:r>
    </w:p>
    <w:p>
      <w:pPr>
        <w:spacing w:after="120"/>
      </w:pPr>
      <w:r>
        <w:rPr>
          <w:b/>
        </w:rPr>
        <w:t>Error Responses</w:t>
      </w:r>
      <w:r>
        <w:t>:</w:t>
      </w:r>
    </w:p>
    <w:p>
      <w:pPr>
        <w:pStyle w:val="ListBullet"/>
      </w:pPr>
      <w:r>
        <w:rPr>
          <w:rFonts w:ascii="Courier New" w:hAnsi="Courier New"/>
          <w:color w:val="C7254E"/>
          <w:sz w:val="18"/>
        </w:rPr>
        <w:t>422</w:t>
      </w:r>
      <w:r>
        <w:t xml:space="preserve">: Missing </w:t>
      </w:r>
      <w:r>
        <w:rPr>
          <w:rFonts w:ascii="Courier New" w:hAnsi="Courier New"/>
          <w:color w:val="C7254E"/>
          <w:sz w:val="18"/>
        </w:rPr>
        <w:t>query</w:t>
      </w:r>
      <w:r>
        <w:t xml:space="preserve"> field</w:t>
      </w:r>
    </w:p>
    <w:p>
      <w:pPr>
        <w:pStyle w:val="ListBullet"/>
      </w:pPr>
      <w:r>
        <w:rPr>
          <w:rFonts w:ascii="Courier New" w:hAnsi="Courier New"/>
          <w:color w:val="C7254E"/>
          <w:sz w:val="18"/>
        </w:rPr>
        <w:t>500</w:t>
      </w:r>
      <w:r>
        <w:t>: Workflow execution error (wrapped with detail message)</w:t>
      </w:r>
    </w:p>
    <w:p>
      <w:pPr>
        <w:spacing w:after="120"/>
      </w:pPr>
      <w:r>
        <w:rPr>
          <w:b/>
        </w:rPr>
        <w:t>Typical Latency</w:t>
      </w:r>
      <w:r>
        <w:t>: 90–120 seconds (OpenAI gpt-4o-mini, 20 indexed chunks, reranker cached)</w:t>
      </w:r>
    </w:p>
    <w:p>
      <w:pPr>
        <w:pBdr>
          <w:bottom w:val="single" w:sz="4" w:space="1" w:color="CCCCCC"/>
        </w:pBdr>
      </w:pPr>
    </w:p>
    <w:p>
      <w:pPr>
        <w:pStyle w:val="Heading3"/>
      </w:pPr>
      <w:r>
        <w:t>GET /audit/trace/{audit_id}</w:t>
      </w:r>
    </w:p>
    <w:p>
      <w:pPr>
        <w:spacing w:after="120"/>
      </w:pPr>
      <w:r>
        <w:rPr>
          <w:b/>
        </w:rPr>
        <w:t>Purpose</w:t>
      </w:r>
      <w:r>
        <w:t>: Retrieve the complete, immutable audit trace for a workflow run.</w:t>
      </w:r>
    </w:p>
    <w:p>
      <w:pPr>
        <w:spacing w:after="120"/>
      </w:pPr>
      <w:r>
        <w:rPr>
          <w:b/>
        </w:rPr>
        <w:t>Path parameter</w:t>
      </w:r>
      <w:r>
        <w:t xml:space="preserve">: </w:t>
      </w:r>
      <w:r>
        <w:rPr>
          <w:rFonts w:ascii="Courier New" w:hAnsi="Courier New"/>
          <w:color w:val="C7254E"/>
          <w:sz w:val="18"/>
        </w:rPr>
        <w:t>audit_id</w:t>
      </w:r>
      <w:r>
        <w:t xml:space="preserve"> — UUID returned by </w:t>
      </w:r>
      <w:r>
        <w:rPr>
          <w:rFonts w:ascii="Courier New" w:hAnsi="Courier New"/>
          <w:color w:val="C7254E"/>
          <w:sz w:val="18"/>
        </w:rPr>
        <w:t>/analyze-business</w:t>
      </w:r>
    </w:p>
    <w:p>
      <w:pPr>
        <w:spacing w:after="120"/>
      </w:pPr>
      <w:r>
        <w:rPr>
          <w:b/>
        </w:rPr>
        <w:t>Example</w:t>
      </w:r>
      <w:r>
        <w:t>:</w:t>
      </w:r>
    </w:p>
    <w:p>
      <w:pPr>
        <w:spacing w:before="80" w:after="80"/>
        <w:ind w:left="432"/>
        <w:shd w:fill="F0F4F8" w:val="clear"/>
      </w:pPr>
      <w:r>
        <w:rPr>
          <w:rFonts w:ascii="Courier New" w:hAnsi="Courier New"/>
          <w:color w:val="1F1F1F"/>
          <w:sz w:val="17"/>
        </w:rPr>
        <w:t>curl http://localhost:8000/audit/trace/a040e06d-ec99-4f6f-8ee0-3540463adeb0</w:t>
      </w:r>
    </w:p>
    <w:p>
      <w:pPr>
        <w:spacing w:after="120"/>
      </w:pPr>
      <w:r>
        <w:rPr>
          <w:b/>
        </w:rPr>
        <w:t>Success Response</w:t>
      </w:r>
      <w:r>
        <w:t xml:space="preserve"> (HTTP 200): Full audit record including all agent outputs, citations, trace, risk level, grounding score, and iteration count.</w:t>
      </w:r>
    </w:p>
    <w:p>
      <w:pPr>
        <w:spacing w:after="120"/>
      </w:pPr>
      <w:r>
        <w:rPr>
          <w:b/>
        </w:rPr>
        <w:t>Error Responses</w:t>
      </w:r>
      <w:r>
        <w:t>:</w:t>
      </w:r>
    </w:p>
    <w:p>
      <w:pPr>
        <w:pStyle w:val="ListBullet"/>
      </w:pPr>
      <w:r>
        <w:rPr>
          <w:rFonts w:ascii="Courier New" w:hAnsi="Courier New"/>
          <w:color w:val="C7254E"/>
          <w:sz w:val="18"/>
        </w:rPr>
        <w:t>404</w:t>
      </w:r>
      <w:r>
        <w:t>: Audit ID not found</w:t>
      </w:r>
    </w:p>
    <w:p>
      <w:pPr>
        <w:pBdr>
          <w:bottom w:val="single" w:sz="4" w:space="1" w:color="CCCCCC"/>
        </w:pBdr>
      </w:pPr>
    </w:p>
    <w:p>
      <w:pPr>
        <w:pStyle w:val="Heading3"/>
      </w:pPr>
      <w:r>
        <w:t>GET /audit/session/{session_id}</w:t>
      </w:r>
    </w:p>
    <w:p>
      <w:pPr>
        <w:spacing w:after="120"/>
      </w:pPr>
      <w:r>
        <w:rPr>
          <w:b/>
        </w:rPr>
        <w:t>Purpose</w:t>
      </w:r>
      <w:r>
        <w:t>: List all audit records for a session, newest first.</w:t>
      </w:r>
    </w:p>
    <w:p>
      <w:pPr>
        <w:spacing w:after="120"/>
      </w:pPr>
      <w:r>
        <w:rPr>
          <w:b/>
        </w:rPr>
        <w:t>Query parameter</w:t>
      </w:r>
      <w:r>
        <w:t xml:space="preserve">: </w:t>
      </w:r>
      <w:r>
        <w:rPr>
          <w:rFonts w:ascii="Courier New" w:hAnsi="Courier New"/>
          <w:color w:val="C7254E"/>
          <w:sz w:val="18"/>
        </w:rPr>
        <w:t>limit</w:t>
      </w:r>
      <w:r>
        <w:t xml:space="preserve"> (default: 20)</w:t>
      </w:r>
    </w:p>
    <w:p>
      <w:pPr>
        <w:spacing w:after="120"/>
      </w:pPr>
      <w:r>
        <w:rPr>
          <w:b/>
        </w:rPr>
        <w:t>Example</w:t>
      </w:r>
      <w:r>
        <w:t>:</w:t>
      </w:r>
    </w:p>
    <w:p>
      <w:pPr>
        <w:spacing w:before="80" w:after="80"/>
        <w:ind w:left="432"/>
        <w:shd w:fill="F0F4F8" w:val="clear"/>
      </w:pPr>
      <w:r>
        <w:rPr>
          <w:rFonts w:ascii="Courier New" w:hAnsi="Courier New"/>
          <w:color w:val="1F1F1F"/>
          <w:sz w:val="17"/>
        </w:rPr>
        <w:t>curl "http://localhost:8000/audit/session/550e8400-e29b-41d4-a716-446655440000?limit=5"</w:t>
      </w:r>
    </w:p>
    <w:p>
      <w:pPr>
        <w:spacing w:after="120"/>
      </w:pPr>
      <w:r>
        <w:rPr>
          <w:b/>
        </w:rPr>
        <w:t>Success Response</w:t>
      </w:r>
      <w:r>
        <w:t xml:space="preserve"> (HTTP 200): Array of summary audit records (without full agent outputs).</w:t>
      </w:r>
    </w:p>
    <w:p>
      <w:pPr>
        <w:pBdr>
          <w:bottom w:val="single" w:sz="4" w:space="1" w:color="CCCCCC"/>
        </w:pBdr>
      </w:pPr>
    </w:p>
    <w:p>
      <w:pPr>
        <w:pStyle w:val="Heading2"/>
      </w:pPr>
      <w:r>
        <w:t>10. DevOps &amp; Infrastructure</w:t>
      </w:r>
    </w:p>
    <w:p>
      <w:pPr>
        <w:pStyle w:val="Heading3"/>
      </w:pPr>
      <w:r>
        <w:t>Infrastructure Overview</w:t>
      </w:r>
    </w:p>
    <w:p>
      <w:pPr>
        <w:spacing w:before="80" w:after="80"/>
        <w:ind w:left="432"/>
        <w:shd w:fill="F0F4F8" w:val="clear"/>
      </w:pPr>
      <w:r>
        <w:rPr>
          <w:rFonts w:ascii="Courier New" w:hAnsi="Courier New"/>
          <w:color w:val="1F1F1F"/>
          <w:sz w:val="17"/>
        </w:rPr>
        <w:t>┌─────────────────────────────────────────────────┐</w:t>
        <w:br/>
        <w:t>│              Docker Compose (Local)              │</w:t>
        <w:br/>
        <w:t>│                                                  │</w:t>
        <w:br/>
        <w:t>│  ┌───────────┐  ┌─────────────┐  ┌───────────┐  │</w:t>
        <w:br/>
        <w:t>│  │  Qdrant   │  │  PostgreSQL │  │   Redis   │  │</w:t>
        <w:br/>
        <w:t>│  │ :6333     │  │  :5432      │  │  :6379    │  │</w:t>
        <w:br/>
        <w:t>│  │ :6334(RPC)│  │             │  │           │  │</w:t>
        <w:br/>
        <w:t>│  └───────────┘  └─────────────┘  └───────────┘  │</w:t>
        <w:br/>
        <w:t>└─────────────────────────────────────────────────┘</w:t>
        <w:br/>
        <w:br/>
        <w:t>FastAPI Application (uvicorn, host process — not containerized in MVP)</w:t>
        <w:br/>
        <w:t>├── port: 8000</w:t>
        <w:br/>
        <w:t>├── --reload flag for development</w:t>
        <w:br/>
        <w:t>└── Connects to Docker containers via localhost ports</w:t>
      </w:r>
    </w:p>
    <w:p>
      <w:pPr>
        <w:pStyle w:val="Heading3"/>
      </w:pPr>
      <w:r>
        <w:t>Docker Compose Services</w:t>
      </w:r>
    </w:p>
    <w:p>
      <w:pPr>
        <w:spacing w:after="120"/>
      </w:pPr>
      <w:r>
        <w:rPr>
          <w:b/>
        </w:rPr>
        <w:t>Qdrant</w:t>
      </w:r>
    </w:p>
    <w:p>
      <w:pPr>
        <w:pStyle w:val="ListBullet"/>
      </w:pPr>
      <w:r>
        <w:t xml:space="preserve">Image: </w:t>
      </w:r>
      <w:r>
        <w:rPr>
          <w:rFonts w:ascii="Courier New" w:hAnsi="Courier New"/>
          <w:color w:val="C7254E"/>
          <w:sz w:val="18"/>
        </w:rPr>
        <w:t>qdrant/qdrant:latest</w:t>
      </w:r>
    </w:p>
    <w:p>
      <w:pPr>
        <w:pStyle w:val="ListBullet"/>
      </w:pPr>
      <w:r>
        <w:t xml:space="preserve">Ports: </w:t>
      </w:r>
      <w:r>
        <w:rPr>
          <w:rFonts w:ascii="Courier New" w:hAnsi="Courier New"/>
          <w:color w:val="C7254E"/>
          <w:sz w:val="18"/>
        </w:rPr>
        <w:t>6333</w:t>
      </w:r>
      <w:r>
        <w:t xml:space="preserve"> (REST API), </w:t>
      </w:r>
      <w:r>
        <w:rPr>
          <w:rFonts w:ascii="Courier New" w:hAnsi="Courier New"/>
          <w:color w:val="C7254E"/>
          <w:sz w:val="18"/>
        </w:rPr>
        <w:t>6334</w:t>
      </w:r>
      <w:r>
        <w:t xml:space="preserve"> (gRPC)</w:t>
      </w:r>
    </w:p>
    <w:p>
      <w:pPr>
        <w:pStyle w:val="ListBullet"/>
      </w:pPr>
      <w:r>
        <w:t xml:space="preserve">Volume: </w:t>
      </w:r>
      <w:r>
        <w:rPr>
          <w:rFonts w:ascii="Courier New" w:hAnsi="Courier New"/>
          <w:color w:val="C7254E"/>
          <w:sz w:val="18"/>
        </w:rPr>
        <w:t>qdrant_data:/qdrant/storage</w:t>
      </w:r>
      <w:r>
        <w:t xml:space="preserve"> (persistent)</w:t>
      </w:r>
    </w:p>
    <w:p>
      <w:pPr>
        <w:pStyle w:val="ListBullet"/>
      </w:pPr>
      <w:r>
        <w:t xml:space="preserve">Restart: </w:t>
      </w:r>
      <w:r>
        <w:rPr>
          <w:rFonts w:ascii="Courier New" w:hAnsi="Courier New"/>
          <w:color w:val="C7254E"/>
          <w:sz w:val="18"/>
        </w:rPr>
        <w:t>unless-stopped</w:t>
      </w:r>
    </w:p>
    <w:p>
      <w:pPr>
        <w:spacing w:after="120"/>
      </w:pPr>
      <w:r>
        <w:rPr>
          <w:b/>
        </w:rPr>
        <w:t>PostgreSQL</w:t>
      </w:r>
    </w:p>
    <w:p>
      <w:pPr>
        <w:pStyle w:val="ListBullet"/>
      </w:pPr>
      <w:r>
        <w:t xml:space="preserve">Image: </w:t>
      </w:r>
      <w:r>
        <w:rPr>
          <w:rFonts w:ascii="Courier New" w:hAnsi="Courier New"/>
          <w:color w:val="C7254E"/>
          <w:sz w:val="18"/>
        </w:rPr>
        <w:t>postgres:16-alpine</w:t>
      </w:r>
    </w:p>
    <w:p>
      <w:pPr>
        <w:pStyle w:val="ListBullet"/>
      </w:pPr>
      <w:r>
        <w:t xml:space="preserve">Port: </w:t>
      </w:r>
      <w:r>
        <w:rPr>
          <w:rFonts w:ascii="Courier New" w:hAnsi="Courier New"/>
          <w:color w:val="C7254E"/>
          <w:sz w:val="18"/>
        </w:rPr>
        <w:t>5432</w:t>
      </w:r>
    </w:p>
    <w:p>
      <w:pPr>
        <w:pStyle w:val="ListBullet"/>
      </w:pPr>
      <w:r>
        <w:t xml:space="preserve">Credentials: from </w:t>
      </w:r>
      <w:r>
        <w:rPr>
          <w:rFonts w:ascii="Courier New" w:hAnsi="Courier New"/>
          <w:color w:val="C7254E"/>
          <w:sz w:val="18"/>
        </w:rPr>
        <w:t>.env</w:t>
      </w:r>
      <w:r>
        <w:t xml:space="preserve"> (</w:t>
      </w:r>
      <w:r>
        <w:rPr>
          <w:rFonts w:ascii="Courier New" w:hAnsi="Courier New"/>
          <w:color w:val="C7254E"/>
          <w:sz w:val="18"/>
        </w:rPr>
        <w:t>POSTGRES_USER</w:t>
      </w:r>
      <w:r>
        <w:t xml:space="preserve">, </w:t>
      </w:r>
      <w:r>
        <w:rPr>
          <w:rFonts w:ascii="Courier New" w:hAnsi="Courier New"/>
          <w:color w:val="C7254E"/>
          <w:sz w:val="18"/>
        </w:rPr>
        <w:t>POSTGRES_PASSWORD</w:t>
      </w:r>
      <w:r>
        <w:t xml:space="preserve">, </w:t>
      </w:r>
      <w:r>
        <w:rPr>
          <w:rFonts w:ascii="Courier New" w:hAnsi="Courier New"/>
          <w:color w:val="C7254E"/>
          <w:sz w:val="18"/>
        </w:rPr>
        <w:t>POSTGRES_DB</w:t>
      </w:r>
      <w:r>
        <w:t>)</w:t>
      </w:r>
    </w:p>
    <w:p>
      <w:pPr>
        <w:pStyle w:val="ListBullet"/>
      </w:pPr>
      <w:r>
        <w:t xml:space="preserve">Volume: </w:t>
      </w:r>
      <w:r>
        <w:rPr>
          <w:rFonts w:ascii="Courier New" w:hAnsi="Courier New"/>
          <w:color w:val="C7254E"/>
          <w:sz w:val="18"/>
        </w:rPr>
        <w:t>postgres_data:/var/lib/postgresql/data</w:t>
      </w:r>
      <w:r>
        <w:t xml:space="preserve"> (persistent)</w:t>
      </w:r>
    </w:p>
    <w:p>
      <w:pPr>
        <w:pStyle w:val="ListBullet"/>
      </w:pPr>
      <w:r>
        <w:t xml:space="preserve">Restart: </w:t>
      </w:r>
      <w:r>
        <w:rPr>
          <w:rFonts w:ascii="Courier New" w:hAnsi="Courier New"/>
          <w:color w:val="C7254E"/>
          <w:sz w:val="18"/>
        </w:rPr>
        <w:t>unless-stopped</w:t>
      </w:r>
    </w:p>
    <w:p>
      <w:pPr>
        <w:spacing w:after="120"/>
      </w:pPr>
      <w:r>
        <w:rPr>
          <w:b/>
        </w:rPr>
        <w:t>Redis</w:t>
      </w:r>
    </w:p>
    <w:p>
      <w:pPr>
        <w:pStyle w:val="ListBullet"/>
      </w:pPr>
      <w:r>
        <w:t xml:space="preserve">Image: </w:t>
      </w:r>
      <w:r>
        <w:rPr>
          <w:rFonts w:ascii="Courier New" w:hAnsi="Courier New"/>
          <w:color w:val="C7254E"/>
          <w:sz w:val="18"/>
        </w:rPr>
        <w:t>redis:7-alpine</w:t>
      </w:r>
    </w:p>
    <w:p>
      <w:pPr>
        <w:pStyle w:val="ListBullet"/>
      </w:pPr>
      <w:r>
        <w:t xml:space="preserve">Port: </w:t>
      </w:r>
      <w:r>
        <w:rPr>
          <w:rFonts w:ascii="Courier New" w:hAnsi="Courier New"/>
          <w:color w:val="C7254E"/>
          <w:sz w:val="18"/>
        </w:rPr>
        <w:t>6379</w:t>
      </w:r>
    </w:p>
    <w:p>
      <w:pPr>
        <w:pStyle w:val="ListBullet"/>
      </w:pPr>
      <w:r>
        <w:t xml:space="preserve">Persistence: </w:t>
      </w:r>
      <w:r>
        <w:rPr>
          <w:rFonts w:ascii="Courier New" w:hAnsi="Courier New"/>
          <w:color w:val="C7254E"/>
          <w:sz w:val="18"/>
        </w:rPr>
        <w:t>appendonly yes</w:t>
      </w:r>
      <w:r>
        <w:t xml:space="preserve"> (AOF persistence enabled)</w:t>
      </w:r>
    </w:p>
    <w:p>
      <w:pPr>
        <w:pStyle w:val="ListBullet"/>
      </w:pPr>
      <w:r>
        <w:t xml:space="preserve">Volume: </w:t>
      </w:r>
      <w:r>
        <w:rPr>
          <w:rFonts w:ascii="Courier New" w:hAnsi="Courier New"/>
          <w:color w:val="C7254E"/>
          <w:sz w:val="18"/>
        </w:rPr>
        <w:t>redis_data:/data</w:t>
      </w:r>
    </w:p>
    <w:p>
      <w:pPr>
        <w:pStyle w:val="ListBullet"/>
      </w:pPr>
      <w:r>
        <w:t xml:space="preserve">Restart: </w:t>
      </w:r>
      <w:r>
        <w:rPr>
          <w:rFonts w:ascii="Courier New" w:hAnsi="Courier New"/>
          <w:color w:val="C7254E"/>
          <w:sz w:val="18"/>
        </w:rPr>
        <w:t>unless-stopped</w:t>
      </w:r>
    </w:p>
    <w:p>
      <w:pPr>
        <w:pStyle w:val="Heading3"/>
      </w:pPr>
      <w:r>
        <w:t>Starting Infrastructure</w:t>
      </w:r>
    </w:p>
    <w:p>
      <w:pPr>
        <w:spacing w:before="80" w:after="80"/>
        <w:ind w:left="432"/>
        <w:shd w:fill="F0F4F8" w:val="clear"/>
      </w:pPr>
      <w:r>
        <w:rPr>
          <w:rFonts w:ascii="Courier New" w:hAnsi="Courier New"/>
          <w:color w:val="1F1F1F"/>
          <w:sz w:val="17"/>
        </w:rPr>
        <w:t># Start all Docker services</w:t>
        <w:br/>
        <w:t>docker compose up -d</w:t>
        <w:br/>
        <w:br/>
        <w:t># Start the FastAPI application</w:t>
        <w:br/>
        <w:t>uvicorn app.main:app --reload</w:t>
        <w:br/>
        <w:br/>
        <w:t># Verify services</w:t>
        <w:br/>
        <w:t>curl http://localhost:8000/health</w:t>
        <w:br/>
        <w:t>curl http://localhost:6333/healthz</w:t>
      </w:r>
    </w:p>
    <w:p>
      <w:pPr>
        <w:pStyle w:val="Heading3"/>
      </w:pPr>
      <w:r>
        <w:t>Package Management</w:t>
      </w:r>
    </w:p>
    <w:p>
      <w:pPr>
        <w:spacing w:after="120"/>
      </w:pPr>
      <w:r>
        <w:t xml:space="preserve">Uses </w:t>
      </w:r>
      <w:r>
        <w:rPr>
          <w:rFonts w:ascii="Courier New" w:hAnsi="Courier New"/>
          <w:color w:val="C7254E"/>
          <w:sz w:val="18"/>
        </w:rPr>
        <w:t>uv</w:t>
      </w:r>
      <w:r>
        <w:t xml:space="preserve"> — a fast Python package manager. </w:t>
      </w:r>
      <w:r>
        <w:rPr>
          <w:rFonts w:ascii="Courier New" w:hAnsi="Courier New"/>
          <w:color w:val="C7254E"/>
          <w:sz w:val="18"/>
        </w:rPr>
        <w:t>pyproject.toml</w:t>
      </w:r>
      <w:r>
        <w:t xml:space="preserve"> defines dependencies.</w:t>
      </w:r>
    </w:p>
    <w:p>
      <w:pPr>
        <w:spacing w:before="80" w:after="80"/>
        <w:ind w:left="432"/>
        <w:shd w:fill="F0F4F8" w:val="clear"/>
      </w:pPr>
      <w:r>
        <w:rPr>
          <w:rFonts w:ascii="Courier New" w:hAnsi="Courier New"/>
          <w:color w:val="1F1F1F"/>
          <w:sz w:val="17"/>
        </w:rPr>
        <w:t>uv sync          # Install all dependencies</w:t>
        <w:br/>
        <w:t>uv add &lt;pkg&gt;     # Add new dependency</w:t>
      </w:r>
    </w:p>
    <w:p>
      <w:pPr>
        <w:pStyle w:val="Heading3"/>
      </w:pPr>
      <w:r>
        <w:t>Environment Variables</w:t>
      </w:r>
    </w:p>
    <w:p>
      <w:pPr>
        <w:spacing w:after="120"/>
      </w:pPr>
      <w:r>
        <w:t xml:space="preserve">All environment variables defined in </w:t>
      </w:r>
      <w:r>
        <w:rPr>
          <w:rFonts w:ascii="Courier New" w:hAnsi="Courier New"/>
          <w:color w:val="C7254E"/>
          <w:sz w:val="18"/>
        </w:rPr>
        <w:t>.env</w:t>
      </w:r>
      <w:r>
        <w:t xml:space="preserve"> (not committed to version control):</w:t>
      </w:r>
    </w:p>
    <w:p>
      <w:pPr>
        <w:spacing w:before="80" w:after="80"/>
        <w:ind w:left="432"/>
        <w:shd w:fill="F0F4F8" w:val="clear"/>
      </w:pPr>
      <w:r>
        <w:rPr>
          <w:rFonts w:ascii="Courier New" w:hAnsi="Courier New"/>
          <w:color w:val="1F1F1F"/>
          <w:sz w:val="17"/>
        </w:rPr>
        <w:t>POSTGRES_USER=regplatform</w:t>
        <w:br/>
        <w:t>POSTGRES_PASSWORD=&lt;secret&gt;</w:t>
        <w:br/>
        <w:t>POSTGRES_DB=regulatory_db</w:t>
        <w:br/>
        <w:t>POSTGRES_HOST=localhost</w:t>
        <w:br/>
        <w:t>POSTGRES_PORT=5432</w:t>
        <w:br/>
        <w:br/>
        <w:t>QDRANT_HOST=localhost</w:t>
        <w:br/>
        <w:t>QDRANT_PORT=6333</w:t>
        <w:br/>
        <w:br/>
        <w:t>OPENAI_API_KEY=sk-proj-...</w:t>
        <w:br/>
        <w:t>LLM_PROVIDER=openai</w:t>
        <w:br/>
        <w:t>OPENAI_MODEL=gpt-4o-mini</w:t>
      </w:r>
    </w:p>
    <w:p>
      <w:pPr>
        <w:pStyle w:val="Heading3"/>
      </w:pPr>
      <w:r>
        <w:t>CI/CD</w:t>
      </w:r>
    </w:p>
    <w:p>
      <w:pPr>
        <w:spacing w:after="120"/>
      </w:pPr>
      <w:r>
        <w:t>Not yet configured. Recommended future setup:</w:t>
      </w:r>
    </w:p>
    <w:p>
      <w:pPr>
        <w:pStyle w:val="ListBullet"/>
      </w:pPr>
      <w:r>
        <w:t>GitHub Actions for lint (ruff), type check (mypy), test (pytest) on PR</w:t>
      </w:r>
    </w:p>
    <w:p>
      <w:pPr>
        <w:pStyle w:val="ListBullet"/>
      </w:pPr>
      <w:r>
        <w:t>Docker image build for FastAPI application</w:t>
      </w:r>
    </w:p>
    <w:p>
      <w:pPr>
        <w:pStyle w:val="ListBullet"/>
      </w:pPr>
      <w:r>
        <w:t>Automated deployment to cloud on merge to main</w:t>
      </w:r>
    </w:p>
    <w:p>
      <w:pPr>
        <w:pBdr>
          <w:bottom w:val="single" w:sz="4" w:space="1" w:color="CCCCCC"/>
        </w:pBdr>
      </w:pPr>
    </w:p>
    <w:p>
      <w:pPr>
        <w:pStyle w:val="Heading2"/>
      </w:pPr>
      <w:r>
        <w:t>11. Security Analysis</w:t>
      </w:r>
    </w:p>
    <w:p>
      <w:pPr>
        <w:pStyle w:val="Heading3"/>
      </w:pPr>
      <w:r>
        <w:t>Current State (MVP)</w:t>
      </w:r>
    </w:p>
    <w:p>
      <w:pPr>
        <w:spacing w:after="120"/>
      </w:pPr>
      <w:r>
        <w:rPr>
          <w:b/>
        </w:rPr>
        <w:t>Authentication</w:t>
      </w:r>
      <w:r>
        <w:t>: None implemented. All API endpoints are open.</w:t>
      </w:r>
    </w:p>
    <w:p>
      <w:pPr>
        <w:spacing w:after="120"/>
      </w:pPr>
      <w:r>
        <w:rPr>
          <w:b/>
        </w:rPr>
        <w:t>Authorization</w:t>
      </w:r>
      <w:r>
        <w:t>: None implemented. Any caller can access any audit record.</w:t>
      </w:r>
    </w:p>
    <w:p>
      <w:pPr>
        <w:spacing w:after="120"/>
      </w:pPr>
      <w:r>
        <w:t>This is acceptable for an internal MVP/demo but must be addressed before any external or production deployment.</w:t>
      </w:r>
    </w:p>
    <w:p>
      <w:pPr>
        <w:pStyle w:val="Heading3"/>
      </w:pPr>
      <w:r>
        <w:t>Implemented Security Controls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Control</w:t>
            </w:r>
          </w:p>
        </w:tc>
        <w:tc>
          <w:tcPr>
            <w:tcW w:type="dxa" w:w="4703"/>
            <w:shd w:fill="1E569A" w:val="clear"/>
          </w:tcPr>
          <w:p>
            <w:r>
              <w:rPr>
                <w:b/>
                <w:color w:val="FFFFFF"/>
                <w:sz w:val="19"/>
              </w:rPr>
              <w:t>Implementation</w:t>
            </w:r>
          </w:p>
        </w:tc>
      </w:tr>
      <w:tr>
        <w:tc>
          <w:tcPr>
            <w:tcW w:type="dxa" w:w="4703"/>
          </w:tcPr>
          <w:p>
            <w:r>
              <w:rPr>
                <w:b/>
                <w:sz w:val="19"/>
              </w:rPr>
              <w:t>Input validation</w:t>
            </w:r>
          </w:p>
        </w:tc>
        <w:tc>
          <w:tcPr>
            <w:tcW w:type="dxa" w:w="4703"/>
          </w:tcPr>
          <w:p>
            <w:r>
              <w:rPr>
                <w:sz w:val="19"/>
              </w:rPr>
              <w:t>Pydantic models on all request bodies; FastAPI returns 422 for type violations</w:t>
            </w:r>
          </w:p>
        </w:tc>
      </w:tr>
      <w:tr>
        <w:tc>
          <w:tcPr>
            <w:tcW w:type="dxa" w:w="4703"/>
            <w:shd w:fill="EEF4FB" w:val="clear"/>
          </w:tcPr>
          <w:p>
            <w:r>
              <w:rPr>
                <w:b/>
                <w:sz w:val="19"/>
              </w:rPr>
              <w:t>File type validation</w:t>
            </w:r>
          </w:p>
        </w:tc>
        <w:tc>
          <w:tcPr>
            <w:tcW w:type="dxa" w:w="4703"/>
            <w:shd w:fill="EEF4FB" w:val="clear"/>
          </w:tcPr>
          <w:p>
            <w:r>
              <w:rPr>
                <w:sz w:val="19"/>
              </w:rPr>
              <w:t>MIME type check on uploads (</w:t>
            </w:r>
            <w:r>
              <w:rPr>
                <w:rFonts w:ascii="Courier New" w:hAnsi="Courier New"/>
                <w:color w:val="C7254E"/>
                <w:sz w:val="19"/>
              </w:rPr>
              <w:t>application/pdf</w:t>
            </w:r>
            <w:r>
              <w:rPr>
                <w:sz w:val="19"/>
              </w:rPr>
              <w:t xml:space="preserve"> only)</w:t>
            </w:r>
          </w:p>
        </w:tc>
      </w:tr>
      <w:tr>
        <w:tc>
          <w:tcPr>
            <w:tcW w:type="dxa" w:w="4703"/>
          </w:tcPr>
          <w:p>
            <w:r>
              <w:rPr>
                <w:b/>
                <w:sz w:val="19"/>
              </w:rPr>
              <w:t>Content deduplication</w:t>
            </w:r>
          </w:p>
        </w:tc>
        <w:tc>
          <w:tcPr>
            <w:tcW w:type="dxa" w:w="4703"/>
          </w:tcPr>
          <w:p>
            <w:r>
              <w:rPr>
                <w:sz w:val="19"/>
              </w:rPr>
              <w:t>SHA-256 hash prevents re-ingestion of identical files</w:t>
            </w:r>
          </w:p>
        </w:tc>
      </w:tr>
      <w:tr>
        <w:tc>
          <w:tcPr>
            <w:tcW w:type="dxa" w:w="4703"/>
            <w:shd w:fill="EEF4FB" w:val="clear"/>
          </w:tcPr>
          <w:p>
            <w:r>
              <w:rPr>
                <w:b/>
                <w:sz w:val="19"/>
              </w:rPr>
              <w:t>SQL injection prevention</w:t>
            </w:r>
          </w:p>
        </w:tc>
        <w:tc>
          <w:tcPr>
            <w:tcW w:type="dxa" w:w="4703"/>
            <w:shd w:fill="EEF4FB" w:val="clear"/>
          </w:tcPr>
          <w:p>
            <w:r>
              <w:rPr>
                <w:sz w:val="19"/>
              </w:rPr>
              <w:t>SQLAlchemy ORM with parameterized queries — no raw SQL</w:t>
            </w:r>
          </w:p>
        </w:tc>
      </w:tr>
      <w:tr>
        <w:tc>
          <w:tcPr>
            <w:tcW w:type="dxa" w:w="4703"/>
          </w:tcPr>
          <w:p>
            <w:r>
              <w:rPr>
                <w:b/>
                <w:sz w:val="19"/>
              </w:rPr>
              <w:t>Secrets management</w:t>
            </w:r>
          </w:p>
        </w:tc>
        <w:tc>
          <w:tcPr>
            <w:tcW w:type="dxa" w:w="4703"/>
          </w:tcPr>
          <w:p>
            <w:r>
              <w:rPr>
                <w:sz w:val="19"/>
              </w:rPr>
              <w:t xml:space="preserve">API keys in </w:t>
            </w:r>
            <w:r>
              <w:rPr>
                <w:rFonts w:ascii="Courier New" w:hAnsi="Courier New"/>
                <w:color w:val="C7254E"/>
                <w:sz w:val="19"/>
              </w:rPr>
              <w:t>.env</w:t>
            </w:r>
            <w:r>
              <w:rPr>
                <w:sz w:val="19"/>
              </w:rPr>
              <w:t>, loaded via pydantic-settings — not hardcoded</w:t>
            </w:r>
          </w:p>
        </w:tc>
      </w:tr>
      <w:tr>
        <w:tc>
          <w:tcPr>
            <w:tcW w:type="dxa" w:w="4703"/>
            <w:shd w:fill="EEF4FB" w:val="clear"/>
          </w:tcPr>
          <w:p>
            <w:r>
              <w:rPr>
                <w:b/>
                <w:sz w:val="19"/>
              </w:rPr>
              <w:t>LLM output sanitization</w:t>
            </w:r>
          </w:p>
        </w:tc>
        <w:tc>
          <w:tcPr>
            <w:tcW w:type="dxa" w:w="4703"/>
            <w:shd w:fill="EEF4FB" w:val="clear"/>
          </w:tcPr>
          <w:p>
            <w:r>
              <w:rPr>
                <w:sz w:val="19"/>
              </w:rPr>
              <w:t xml:space="preserve">JSON parsing with </w:t>
            </w:r>
            <w:r>
              <w:rPr>
                <w:rFonts w:ascii="Courier New" w:hAnsi="Courier New"/>
                <w:color w:val="C7254E"/>
                <w:sz w:val="19"/>
              </w:rPr>
              <w:t>try/except</w:t>
            </w:r>
            <w:r>
              <w:rPr>
                <w:sz w:val="19"/>
              </w:rPr>
              <w:t xml:space="preserve"> — malformed LLM responses never crash the workflow</w:t>
            </w:r>
          </w:p>
        </w:tc>
      </w:tr>
      <w:tr>
        <w:tc>
          <w:tcPr>
            <w:tcW w:type="dxa" w:w="4703"/>
          </w:tcPr>
          <w:p>
            <w:r>
              <w:rPr>
                <w:b/>
                <w:sz w:val="19"/>
              </w:rPr>
              <w:t>Async session isolation</w:t>
            </w:r>
          </w:p>
        </w:tc>
        <w:tc>
          <w:tcPr>
            <w:tcW w:type="dxa" w:w="4703"/>
          </w:tcPr>
          <w:p>
            <w:r>
              <w:rPr>
                <w:sz w:val="19"/>
              </w:rPr>
              <w:t xml:space="preserve">Each request gets its own </w:t>
            </w:r>
            <w:r>
              <w:rPr>
                <w:rFonts w:ascii="Courier New" w:hAnsi="Courier New"/>
                <w:color w:val="C7254E"/>
                <w:sz w:val="19"/>
              </w:rPr>
              <w:t>AsyncSession</w:t>
            </w:r>
            <w:r>
              <w:rPr>
                <w:sz w:val="19"/>
              </w:rPr>
              <w:t>; auto-rollback on exception</w:t>
            </w:r>
          </w:p>
        </w:tc>
      </w:tr>
    </w:tbl>
    <w:p/>
    <w:p>
      <w:pPr>
        <w:pStyle w:val="Heading3"/>
      </w:pPr>
      <w:r>
        <w:t>OWASP Top 10 Analysis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Risk</w:t>
            </w:r>
          </w:p>
        </w:tc>
        <w:tc>
          <w:tcPr>
            <w:tcW w:type="dxa" w:w="3135"/>
            <w:shd w:fill="1E569A" w:val="clear"/>
          </w:tcPr>
          <w:p>
            <w:r>
              <w:rPr>
                <w:b/>
                <w:color w:val="FFFFFF"/>
                <w:sz w:val="19"/>
              </w:rPr>
              <w:t>Status</w:t>
            </w:r>
          </w:p>
        </w:tc>
        <w:tc>
          <w:tcPr>
            <w:tcW w:type="dxa" w:w="3135"/>
            <w:shd w:fill="1E569A" w:val="clear"/>
          </w:tcPr>
          <w:p>
            <w:r>
              <w:rPr>
                <w:b/>
                <w:color w:val="FFFFFF"/>
                <w:sz w:val="19"/>
              </w:rPr>
              <w:t>Notes</w:t>
            </w:r>
          </w:p>
        </w:tc>
      </w:tr>
      <w:tr>
        <w:tc>
          <w:tcPr>
            <w:tcW w:type="dxa" w:w="3135"/>
          </w:tcPr>
          <w:p>
            <w:r>
              <w:rPr>
                <w:sz w:val="19"/>
              </w:rPr>
              <w:t>A01 Broken Access Control</w:t>
            </w:r>
          </w:p>
        </w:tc>
        <w:tc>
          <w:tcPr>
            <w:tcW w:type="dxa" w:w="3135"/>
          </w:tcPr>
          <w:p>
            <w:r>
              <w:rPr>
                <w:sz w:val="19"/>
              </w:rPr>
              <w:t xml:space="preserve">⚠️ </w:t>
            </w:r>
            <w:r>
              <w:rPr>
                <w:b/>
                <w:sz w:val="19"/>
              </w:rPr>
              <w:t>Not addressed</w:t>
            </w:r>
          </w:p>
        </w:tc>
        <w:tc>
          <w:tcPr>
            <w:tcW w:type="dxa" w:w="3135"/>
          </w:tcPr>
          <w:p>
            <w:r>
              <w:rPr>
                <w:sz w:val="19"/>
              </w:rPr>
              <w:t>No auth on any endpoint</w:t>
            </w:r>
          </w:p>
        </w:tc>
      </w:tr>
      <w:tr>
        <w:tc>
          <w:tcPr>
            <w:tcW w:type="dxa" w:w="3135"/>
            <w:shd w:fill="EEF4FB" w:val="clear"/>
          </w:tcPr>
          <w:p>
            <w:r>
              <w:rPr>
                <w:sz w:val="19"/>
              </w:rPr>
              <w:t>A02 Cryptographic Failures</w:t>
            </w:r>
          </w:p>
        </w:tc>
        <w:tc>
          <w:tcPr>
            <w:tcW w:type="dxa" w:w="3135"/>
            <w:shd w:fill="EEF4FB" w:val="clear"/>
          </w:tcPr>
          <w:p>
            <w:r>
              <w:rPr>
                <w:sz w:val="19"/>
              </w:rPr>
              <w:t>✅ Partial</w:t>
            </w:r>
          </w:p>
        </w:tc>
        <w:tc>
          <w:tcPr>
            <w:tcW w:type="dxa" w:w="3135"/>
            <w:shd w:fill="EEF4FB" w:val="clear"/>
          </w:tcPr>
          <w:p>
            <w:r>
              <w:rPr>
                <w:sz w:val="19"/>
              </w:rPr>
              <w:t xml:space="preserve">Secrets in </w:t>
            </w:r>
            <w:r>
              <w:rPr>
                <w:rFonts w:ascii="Courier New" w:hAnsi="Courier New"/>
                <w:color w:val="C7254E"/>
                <w:sz w:val="19"/>
              </w:rPr>
              <w:t>.env</w:t>
            </w:r>
            <w:r>
              <w:rPr>
                <w:sz w:val="19"/>
              </w:rPr>
              <w:t>; HTTPS not configured (no TLS in dev)</w:t>
            </w:r>
          </w:p>
        </w:tc>
      </w:tr>
      <w:tr>
        <w:tc>
          <w:tcPr>
            <w:tcW w:type="dxa" w:w="3135"/>
          </w:tcPr>
          <w:p>
            <w:r>
              <w:rPr>
                <w:sz w:val="19"/>
              </w:rPr>
              <w:t>A03 Injection</w:t>
            </w:r>
          </w:p>
        </w:tc>
        <w:tc>
          <w:tcPr>
            <w:tcW w:type="dxa" w:w="3135"/>
          </w:tcPr>
          <w:p>
            <w:r>
              <w:rPr>
                <w:sz w:val="19"/>
              </w:rPr>
              <w:t>✅ Mitigated</w:t>
            </w:r>
          </w:p>
        </w:tc>
        <w:tc>
          <w:tcPr>
            <w:tcW w:type="dxa" w:w="3135"/>
          </w:tcPr>
          <w:p>
            <w:r>
              <w:rPr>
                <w:sz w:val="19"/>
              </w:rPr>
              <w:t>ORM parameterized queries; Pydantic validation</w:t>
            </w:r>
          </w:p>
        </w:tc>
      </w:tr>
      <w:tr>
        <w:tc>
          <w:tcPr>
            <w:tcW w:type="dxa" w:w="3135"/>
            <w:shd w:fill="EEF4FB" w:val="clear"/>
          </w:tcPr>
          <w:p>
            <w:r>
              <w:rPr>
                <w:sz w:val="19"/>
              </w:rPr>
              <w:t>A04 Insecure Design</w:t>
            </w:r>
          </w:p>
        </w:tc>
        <w:tc>
          <w:tcPr>
            <w:tcW w:type="dxa" w:w="3135"/>
            <w:shd w:fill="EEF4FB" w:val="clear"/>
          </w:tcPr>
          <w:p>
            <w:r>
              <w:rPr>
                <w:sz w:val="19"/>
              </w:rPr>
              <w:t>✅ Partial</w:t>
            </w:r>
          </w:p>
        </w:tc>
        <w:tc>
          <w:tcPr>
            <w:tcW w:type="dxa" w:w="3135"/>
            <w:shd w:fill="EEF4FB" w:val="clear"/>
          </w:tcPr>
          <w:p>
            <w:r>
              <w:rPr>
                <w:sz w:val="19"/>
              </w:rPr>
              <w:t>Clean separation of concerns; no business logic in routes</w:t>
            </w:r>
          </w:p>
        </w:tc>
      </w:tr>
      <w:tr>
        <w:tc>
          <w:tcPr>
            <w:tcW w:type="dxa" w:w="3135"/>
          </w:tcPr>
          <w:p>
            <w:r>
              <w:rPr>
                <w:sz w:val="19"/>
              </w:rPr>
              <w:t>A05 Security Misconfiguration</w:t>
            </w:r>
          </w:p>
        </w:tc>
        <w:tc>
          <w:tcPr>
            <w:tcW w:type="dxa" w:w="3135"/>
          </w:tcPr>
          <w:p>
            <w:r>
              <w:rPr>
                <w:sz w:val="19"/>
              </w:rPr>
              <w:t xml:space="preserve">⚠️ </w:t>
            </w:r>
            <w:r>
              <w:rPr>
                <w:b/>
                <w:sz w:val="19"/>
              </w:rPr>
              <w:t>Risk</w:t>
            </w:r>
          </w:p>
        </w:tc>
        <w:tc>
          <w:tcPr>
            <w:tcW w:type="dxa" w:w="3135"/>
          </w:tcPr>
          <w:p>
            <w:r>
              <w:rPr>
                <w:rFonts w:ascii="Courier New" w:hAnsi="Courier New"/>
                <w:color w:val="C7254E"/>
                <w:sz w:val="19"/>
              </w:rPr>
              <w:t>echo=False</w:t>
            </w:r>
            <w:r>
              <w:rPr>
                <w:sz w:val="19"/>
              </w:rPr>
              <w:t xml:space="preserve"> in SQLAlchemy (good); no CORS config; no rate limiting</w:t>
            </w:r>
          </w:p>
        </w:tc>
      </w:tr>
      <w:tr>
        <w:tc>
          <w:tcPr>
            <w:tcW w:type="dxa" w:w="3135"/>
            <w:shd w:fill="EEF4FB" w:val="clear"/>
          </w:tcPr>
          <w:p>
            <w:r>
              <w:rPr>
                <w:sz w:val="19"/>
              </w:rPr>
              <w:t>A06 Vulnerable Components</w:t>
            </w:r>
          </w:p>
        </w:tc>
        <w:tc>
          <w:tcPr>
            <w:tcW w:type="dxa" w:w="3135"/>
            <w:shd w:fill="EEF4FB" w:val="clear"/>
          </w:tcPr>
          <w:p>
            <w:r>
              <w:rPr>
                <w:sz w:val="19"/>
              </w:rPr>
              <w:t>✅ Active</w:t>
            </w:r>
          </w:p>
        </w:tc>
        <w:tc>
          <w:tcPr>
            <w:tcW w:type="dxa" w:w="3135"/>
            <w:shd w:fill="EEF4FB" w:val="clear"/>
          </w:tcPr>
          <w:p>
            <w:r>
              <w:rPr>
                <w:sz w:val="19"/>
              </w:rPr>
              <w:t>Modern pinned dependencies via uv/pyproject.toml</w:t>
            </w:r>
          </w:p>
        </w:tc>
      </w:tr>
      <w:tr>
        <w:tc>
          <w:tcPr>
            <w:tcW w:type="dxa" w:w="3135"/>
          </w:tcPr>
          <w:p>
            <w:r>
              <w:rPr>
                <w:sz w:val="19"/>
              </w:rPr>
              <w:t>A07 Auth Failures</w:t>
            </w:r>
          </w:p>
        </w:tc>
        <w:tc>
          <w:tcPr>
            <w:tcW w:type="dxa" w:w="3135"/>
          </w:tcPr>
          <w:p>
            <w:r>
              <w:rPr>
                <w:sz w:val="19"/>
              </w:rPr>
              <w:t xml:space="preserve">⚠️ </w:t>
            </w:r>
            <w:r>
              <w:rPr>
                <w:b/>
                <w:sz w:val="19"/>
              </w:rPr>
              <w:t>Not addressed</w:t>
            </w:r>
          </w:p>
        </w:tc>
        <w:tc>
          <w:tcPr>
            <w:tcW w:type="dxa" w:w="3135"/>
          </w:tcPr>
          <w:p>
            <w:r>
              <w:rPr>
                <w:sz w:val="19"/>
              </w:rPr>
              <w:t>No authentication at all</w:t>
            </w:r>
          </w:p>
        </w:tc>
      </w:tr>
      <w:tr>
        <w:tc>
          <w:tcPr>
            <w:tcW w:type="dxa" w:w="3135"/>
            <w:shd w:fill="EEF4FB" w:val="clear"/>
          </w:tcPr>
          <w:p>
            <w:r>
              <w:rPr>
                <w:sz w:val="19"/>
              </w:rPr>
              <w:t>A09 Logging Failures</w:t>
            </w:r>
          </w:p>
        </w:tc>
        <w:tc>
          <w:tcPr>
            <w:tcW w:type="dxa" w:w="3135"/>
            <w:shd w:fill="EEF4FB" w:val="clear"/>
          </w:tcPr>
          <w:p>
            <w:r>
              <w:rPr>
                <w:sz w:val="19"/>
              </w:rPr>
              <w:t>✅ Good</w:t>
            </w:r>
          </w:p>
        </w:tc>
        <w:tc>
          <w:tcPr>
            <w:tcW w:type="dxa" w:w="3135"/>
            <w:shd w:fill="EEF4FB" w:val="clear"/>
          </w:tcPr>
          <w:p>
            <w:r>
              <w:rPr>
                <w:sz w:val="19"/>
              </w:rPr>
              <w:t>Structured logging at INFO level; sensitive data not logged</w:t>
            </w:r>
          </w:p>
        </w:tc>
      </w:tr>
      <w:tr>
        <w:tc>
          <w:tcPr>
            <w:tcW w:type="dxa" w:w="3135"/>
          </w:tcPr>
          <w:p>
            <w:r>
              <w:rPr>
                <w:sz w:val="19"/>
              </w:rPr>
              <w:t>A10 SSRF</w:t>
            </w:r>
          </w:p>
        </w:tc>
        <w:tc>
          <w:tcPr>
            <w:tcW w:type="dxa" w:w="3135"/>
          </w:tcPr>
          <w:p>
            <w:r>
              <w:rPr>
                <w:sz w:val="19"/>
              </w:rPr>
              <w:t>✅ Mitigated</w:t>
            </w:r>
          </w:p>
        </w:tc>
        <w:tc>
          <w:tcPr>
            <w:tcW w:type="dxa" w:w="3135"/>
          </w:tcPr>
          <w:p>
            <w:r>
              <w:rPr>
                <w:sz w:val="19"/>
              </w:rPr>
              <w:t>LLM URL configurable but from env only; no user-supplied URLs</w:t>
            </w:r>
          </w:p>
        </w:tc>
      </w:tr>
    </w:tbl>
    <w:p/>
    <w:p>
      <w:pPr>
        <w:pStyle w:val="Heading3"/>
      </w:pPr>
      <w:r>
        <w:t>Security Roadmap (Required Before Production)</w:t>
      </w:r>
    </w:p>
    <w:p>
      <w:pPr>
        <w:pStyle w:val="ListNumber"/>
      </w:pPr>
      <w:r>
        <w:t>JWT Bearer token authentication on all endpoints</w:t>
      </w:r>
    </w:p>
    <w:p>
      <w:pPr>
        <w:pStyle w:val="ListNumber"/>
      </w:pPr>
      <w:r>
        <w:t>Role-based access control (RBAC) — admin, analyst, read-only</w:t>
      </w:r>
    </w:p>
    <w:p>
      <w:pPr>
        <w:pStyle w:val="ListNumber"/>
      </w:pPr>
      <w:r>
        <w:t xml:space="preserve">Rate limiting on </w:t>
      </w:r>
      <w:r>
        <w:rPr>
          <w:rFonts w:ascii="Courier New" w:hAnsi="Courier New"/>
          <w:color w:val="C7254E"/>
          <w:sz w:val="18"/>
        </w:rPr>
        <w:t>/analyze-business</w:t>
      </w:r>
      <w:r>
        <w:t xml:space="preserve"> (LLM calls are expensive)</w:t>
      </w:r>
    </w:p>
    <w:p>
      <w:pPr>
        <w:pStyle w:val="ListNumber"/>
      </w:pPr>
      <w:r>
        <w:t>CORS configuration</w:t>
      </w:r>
    </w:p>
    <w:p>
      <w:pPr>
        <w:pStyle w:val="ListNumber"/>
      </w:pPr>
      <w:r>
        <w:t>HTTPS/TLS termination (nginx reverse proxy or load balancer)</w:t>
      </w:r>
    </w:p>
    <w:p>
      <w:pPr>
        <w:pStyle w:val="ListNumber"/>
      </w:pPr>
      <w:r>
        <w:t>Secrets rotation strategy (not hardcoded keys)</w:t>
      </w:r>
    </w:p>
    <w:p>
      <w:pPr>
        <w:pStyle w:val="ListNumber"/>
      </w:pPr>
      <w:r>
        <w:t>Audit log for authentication events</w:t>
      </w:r>
    </w:p>
    <w:p>
      <w:pPr>
        <w:pBdr>
          <w:bottom w:val="single" w:sz="4" w:space="1" w:color="CCCCCC"/>
        </w:pBdr>
      </w:pPr>
    </w:p>
    <w:p>
      <w:pPr>
        <w:pStyle w:val="Heading2"/>
      </w:pPr>
      <w:r>
        <w:t>12. Observability &amp; Monitoring</w:t>
      </w:r>
    </w:p>
    <w:p>
      <w:pPr>
        <w:pStyle w:val="Heading3"/>
      </w:pPr>
      <w:r>
        <w:t>Logging</w:t>
      </w:r>
    </w:p>
    <w:p>
      <w:pPr>
        <w:spacing w:after="120"/>
      </w:pPr>
      <w:r>
        <w:t xml:space="preserve">Structured logging is configured at startup in </w:t>
      </w:r>
      <w:r>
        <w:rPr>
          <w:rFonts w:ascii="Courier New" w:hAnsi="Courier New"/>
          <w:color w:val="C7254E"/>
          <w:sz w:val="18"/>
        </w:rPr>
        <w:t>app/main.py</w:t>
      </w:r>
      <w:r>
        <w:t>:</w:t>
      </w:r>
    </w:p>
    <w:p>
      <w:pPr>
        <w:spacing w:before="80" w:after="80"/>
        <w:ind w:left="432"/>
        <w:shd w:fill="F0F4F8" w:val="clear"/>
      </w:pPr>
      <w:r>
        <w:rPr>
          <w:rFonts w:ascii="Courier New" w:hAnsi="Courier New"/>
          <w:color w:val="1F1F1F"/>
          <w:sz w:val="17"/>
        </w:rPr>
        <w:t>logging.basicConfig(</w:t>
        <w:br/>
        <w:t xml:space="preserve">    level=logging.INFO,</w:t>
        <w:br/>
        <w:t xml:space="preserve">    format="%(asctime)s [%(levelname)s] %(name)s: %(message)s",</w:t>
        <w:br/>
        <w:t xml:space="preserve">    datefmt="%H:%M:%S",</w:t>
        <w:br/>
        <w:t>)</w:t>
      </w:r>
    </w:p>
    <w:p>
      <w:pPr>
        <w:spacing w:after="120"/>
      </w:pPr>
      <w:r>
        <w:rPr>
          <w:b/>
        </w:rPr>
        <w:t>Log prefixes</w:t>
      </w:r>
      <w:r>
        <w:t xml:space="preserve"> make log filtering easy: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Prefix</w:t>
            </w:r>
          </w:p>
        </w:tc>
        <w:tc>
          <w:tcPr>
            <w:tcW w:type="dxa" w:w="3135"/>
            <w:shd w:fill="1E569A" w:val="clear"/>
          </w:tcPr>
          <w:p>
            <w:r>
              <w:rPr>
                <w:b/>
                <w:color w:val="FFFFFF"/>
                <w:sz w:val="19"/>
              </w:rPr>
              <w:t>Source</w:t>
            </w:r>
          </w:p>
        </w:tc>
        <w:tc>
          <w:tcPr>
            <w:tcW w:type="dxa" w:w="3135"/>
            <w:shd w:fill="1E569A" w:val="clear"/>
          </w:tcPr>
          <w:p>
            <w:r>
              <w:rPr>
                <w:b/>
                <w:color w:val="FFFFFF"/>
                <w:sz w:val="19"/>
              </w:rPr>
              <w:t>What It Logs</w:t>
            </w:r>
          </w:p>
        </w:tc>
      </w:tr>
      <w:tr>
        <w:tc>
          <w:tcPr>
            <w:tcW w:type="dxa" w:w="3135"/>
          </w:tcPr>
          <w:p>
            <w:r>
              <w:rPr>
                <w:rFonts w:ascii="Courier New" w:hAnsi="Courier New"/>
                <w:color w:val="C7254E"/>
                <w:sz w:val="19"/>
              </w:rPr>
              <w:t>[ORCHESTRATOR]</w:t>
            </w:r>
          </w:p>
        </w:tc>
        <w:tc>
          <w:tcPr>
            <w:tcW w:type="dxa" w:w="3135"/>
          </w:tcPr>
          <w:p>
            <w:r>
              <w:rPr>
                <w:sz w:val="19"/>
              </w:rPr>
              <w:t>orchestrator.py</w:t>
            </w:r>
          </w:p>
        </w:tc>
        <w:tc>
          <w:tcPr>
            <w:tcW w:type="dxa" w:w="3135"/>
          </w:tcPr>
          <w:p>
            <w:r>
              <w:rPr>
                <w:sz w:val="19"/>
              </w:rPr>
              <w:t>Query decomposition, LLM calls</w:t>
            </w:r>
          </w:p>
        </w:tc>
      </w:tr>
      <w:tr>
        <w:tc>
          <w:tcPr>
            <w:tcW w:type="dxa" w:w="3135"/>
            <w:shd w:fill="EEF4FB" w:val="clear"/>
          </w:tcPr>
          <w:p>
            <w:r>
              <w:rPr>
                <w:rFonts w:ascii="Courier New" w:hAnsi="Courier New"/>
                <w:color w:val="C7254E"/>
                <w:sz w:val="19"/>
              </w:rPr>
              <w:t>[JURISDICTION]</w:t>
            </w:r>
          </w:p>
        </w:tc>
        <w:tc>
          <w:tcPr>
            <w:tcW w:type="dxa" w:w="3135"/>
            <w:shd w:fill="EEF4FB" w:val="clear"/>
          </w:tcPr>
          <w:p>
            <w:r>
              <w:rPr>
                <w:sz w:val="19"/>
              </w:rPr>
              <w:t>jurisdiction_mapper.py</w:t>
            </w:r>
          </w:p>
        </w:tc>
        <w:tc>
          <w:tcPr>
            <w:tcW w:type="dxa" w:w="3135"/>
            <w:shd w:fill="EEF4FB" w:val="clear"/>
          </w:tcPr>
          <w:p>
            <w:r>
              <w:rPr>
                <w:sz w:val="19"/>
              </w:rPr>
              <w:t>Regulator mapping, LLM calls</w:t>
            </w:r>
          </w:p>
        </w:tc>
      </w:tr>
      <w:tr>
        <w:tc>
          <w:tcPr>
            <w:tcW w:type="dxa" w:w="3135"/>
          </w:tcPr>
          <w:p>
            <w:r>
              <w:rPr>
                <w:rFonts w:ascii="Courier New" w:hAnsi="Courier New"/>
                <w:color w:val="C7254E"/>
                <w:sz w:val="19"/>
              </w:rPr>
              <w:t>[RESEARCH]</w:t>
            </w:r>
          </w:p>
        </w:tc>
        <w:tc>
          <w:tcPr>
            <w:tcW w:type="dxa" w:w="3135"/>
          </w:tcPr>
          <w:p>
            <w:r>
              <w:rPr>
                <w:sz w:val="19"/>
              </w:rPr>
              <w:t>nodes.py</w:t>
            </w:r>
          </w:p>
        </w:tc>
        <w:tc>
          <w:tcPr>
            <w:tcW w:type="dxa" w:w="3135"/>
          </w:tcPr>
          <w:p>
            <w:r>
              <w:rPr>
                <w:sz w:val="19"/>
              </w:rPr>
              <w:t>Chunk retrieval count, query variants</w:t>
            </w:r>
          </w:p>
        </w:tc>
      </w:tr>
      <w:tr>
        <w:tc>
          <w:tcPr>
            <w:tcW w:type="dxa" w:w="3135"/>
            <w:shd w:fill="EEF4FB" w:val="clear"/>
          </w:tcPr>
          <w:p>
            <w:r>
              <w:rPr>
                <w:rFonts w:ascii="Courier New" w:hAnsi="Courier New"/>
                <w:color w:val="C7254E"/>
                <w:sz w:val="19"/>
              </w:rPr>
              <w:t>[RETRIEVAL]</w:t>
            </w:r>
          </w:p>
        </w:tc>
        <w:tc>
          <w:tcPr>
            <w:tcW w:type="dxa" w:w="3135"/>
            <w:shd w:fill="EEF4FB" w:val="clear"/>
          </w:tcPr>
          <w:p>
            <w:r>
              <w:rPr>
                <w:sz w:val="19"/>
              </w:rPr>
              <w:t>retrieval_service.py</w:t>
            </w:r>
          </w:p>
        </w:tc>
        <w:tc>
          <w:tcPr>
            <w:tcW w:type="dxa" w:w="3135"/>
            <w:shd w:fill="EEF4FB" w:val="clear"/>
          </w:tcPr>
          <w:p>
            <w:r>
              <w:rPr>
                <w:sz w:val="19"/>
              </w:rPr>
              <w:t>Query variants, expansion failures</w:t>
            </w:r>
          </w:p>
        </w:tc>
      </w:tr>
      <w:tr>
        <w:tc>
          <w:tcPr>
            <w:tcW w:type="dxa" w:w="3135"/>
          </w:tcPr>
          <w:p>
            <w:r>
              <w:rPr>
                <w:rFonts w:ascii="Courier New" w:hAnsi="Courier New"/>
                <w:color w:val="C7254E"/>
                <w:sz w:val="19"/>
              </w:rPr>
              <w:t>[RERANKER]</w:t>
            </w:r>
          </w:p>
        </w:tc>
        <w:tc>
          <w:tcPr>
            <w:tcW w:type="dxa" w:w="3135"/>
          </w:tcPr>
          <w:p>
            <w:r>
              <w:rPr>
                <w:sz w:val="19"/>
              </w:rPr>
              <w:t>reranking.py</w:t>
            </w:r>
          </w:p>
        </w:tc>
        <w:tc>
          <w:tcPr>
            <w:tcW w:type="dxa" w:w="3135"/>
          </w:tcPr>
          <w:p>
            <w:r>
              <w:rPr>
                <w:sz w:val="19"/>
              </w:rPr>
              <w:t>Failures, fallback to original order</w:t>
            </w:r>
          </w:p>
        </w:tc>
      </w:tr>
      <w:tr>
        <w:tc>
          <w:tcPr>
            <w:tcW w:type="dxa" w:w="3135"/>
            <w:shd w:fill="EEF4FB" w:val="clear"/>
          </w:tcPr>
          <w:p>
            <w:r>
              <w:rPr>
                <w:rFonts w:ascii="Courier New" w:hAnsi="Courier New"/>
                <w:color w:val="C7254E"/>
                <w:sz w:val="19"/>
              </w:rPr>
              <w:t>[REASONING]</w:t>
            </w:r>
          </w:p>
        </w:tc>
        <w:tc>
          <w:tcPr>
            <w:tcW w:type="dxa" w:w="3135"/>
            <w:shd w:fill="EEF4FB" w:val="clear"/>
          </w:tcPr>
          <w:p>
            <w:r>
              <w:rPr>
                <w:sz w:val="19"/>
              </w:rPr>
              <w:t>reasoning.py</w:t>
            </w:r>
          </w:p>
        </w:tc>
        <w:tc>
          <w:tcPr>
            <w:tcW w:type="dxa" w:w="3135"/>
            <w:shd w:fill="EEF4FB" w:val="clear"/>
          </w:tcPr>
          <w:p>
            <w:r>
              <w:rPr>
                <w:sz w:val="19"/>
              </w:rPr>
              <w:t>Chunk synthesis, LLM calls</w:t>
            </w:r>
          </w:p>
        </w:tc>
      </w:tr>
      <w:tr>
        <w:tc>
          <w:tcPr>
            <w:tcW w:type="dxa" w:w="3135"/>
          </w:tcPr>
          <w:p>
            <w:r>
              <w:rPr>
                <w:rFonts w:ascii="Courier New" w:hAnsi="Courier New"/>
                <w:color w:val="C7254E"/>
                <w:sz w:val="19"/>
              </w:rPr>
              <w:t>[AUDITOR]</w:t>
            </w:r>
          </w:p>
        </w:tc>
        <w:tc>
          <w:tcPr>
            <w:tcW w:type="dxa" w:w="3135"/>
          </w:tcPr>
          <w:p>
            <w:r>
              <w:rPr>
                <w:sz w:val="19"/>
              </w:rPr>
              <w:t>auditor.py</w:t>
            </w:r>
          </w:p>
        </w:tc>
        <w:tc>
          <w:tcPr>
            <w:tcW w:type="dxa" w:w="3135"/>
          </w:tcPr>
          <w:p>
            <w:r>
              <w:rPr>
                <w:sz w:val="19"/>
              </w:rPr>
              <w:t>Risk assessment calls</w:t>
            </w:r>
          </w:p>
        </w:tc>
      </w:tr>
      <w:tr>
        <w:tc>
          <w:tcPr>
            <w:tcW w:type="dxa" w:w="3135"/>
            <w:shd w:fill="EEF4FB" w:val="clear"/>
          </w:tcPr>
          <w:p>
            <w:r>
              <w:rPr>
                <w:rFonts w:ascii="Courier New" w:hAnsi="Courier New"/>
                <w:color w:val="C7254E"/>
                <w:sz w:val="19"/>
              </w:rPr>
              <w:t>[CITATION]</w:t>
            </w:r>
          </w:p>
        </w:tc>
        <w:tc>
          <w:tcPr>
            <w:tcW w:type="dxa" w:w="3135"/>
            <w:shd w:fill="EEF4FB" w:val="clear"/>
          </w:tcPr>
          <w:p>
            <w:r>
              <w:rPr>
                <w:sz w:val="19"/>
              </w:rPr>
              <w:t>citation_verifier.py</w:t>
            </w:r>
          </w:p>
        </w:tc>
        <w:tc>
          <w:tcPr>
            <w:tcW w:type="dxa" w:w="3135"/>
            <w:shd w:fill="EEF4FB" w:val="clear"/>
          </w:tcPr>
          <w:p>
            <w:r>
              <w:rPr>
                <w:sz w:val="19"/>
              </w:rPr>
              <w:t>Claim verification</w:t>
            </w:r>
          </w:p>
        </w:tc>
      </w:tr>
      <w:tr>
        <w:tc>
          <w:tcPr>
            <w:tcW w:type="dxa" w:w="3135"/>
          </w:tcPr>
          <w:p>
            <w:r>
              <w:rPr>
                <w:rFonts w:ascii="Courier New" w:hAnsi="Courier New"/>
                <w:color w:val="C7254E"/>
                <w:sz w:val="19"/>
              </w:rPr>
              <w:t>[CRITIC]</w:t>
            </w:r>
          </w:p>
        </w:tc>
        <w:tc>
          <w:tcPr>
            <w:tcW w:type="dxa" w:w="3135"/>
          </w:tcPr>
          <w:p>
            <w:r>
              <w:rPr>
                <w:sz w:val="19"/>
              </w:rPr>
              <w:t>critic.py</w:t>
            </w:r>
          </w:p>
        </w:tc>
        <w:tc>
          <w:tcPr>
            <w:tcW w:type="dxa" w:w="3135"/>
          </w:tcPr>
          <w:p>
            <w:r>
              <w:rPr>
                <w:sz w:val="19"/>
              </w:rPr>
              <w:t>Quality assessment</w:t>
            </w:r>
          </w:p>
        </w:tc>
      </w:tr>
      <w:tr>
        <w:tc>
          <w:tcPr>
            <w:tcW w:type="dxa" w:w="3135"/>
            <w:shd w:fill="EEF4FB" w:val="clear"/>
          </w:tcPr>
          <w:p>
            <w:r>
              <w:rPr>
                <w:rFonts w:ascii="Courier New" w:hAnsi="Courier New"/>
                <w:color w:val="C7254E"/>
                <w:sz w:val="19"/>
              </w:rPr>
              <w:t>[COMPLIANCE]</w:t>
            </w:r>
          </w:p>
        </w:tc>
        <w:tc>
          <w:tcPr>
            <w:tcW w:type="dxa" w:w="3135"/>
            <w:shd w:fill="EEF4FB" w:val="clear"/>
          </w:tcPr>
          <w:p>
            <w:r>
              <w:rPr>
                <w:sz w:val="19"/>
              </w:rPr>
              <w:t>compliance_service.py</w:t>
            </w:r>
          </w:p>
        </w:tc>
        <w:tc>
          <w:tcPr>
            <w:tcW w:type="dxa" w:w="3135"/>
            <w:shd w:fill="EEF4FB" w:val="clear"/>
          </w:tcPr>
          <w:p>
            <w:r>
              <w:rPr>
                <w:sz w:val="19"/>
              </w:rPr>
              <w:t>Workflow duration, iteration count</w:t>
            </w:r>
          </w:p>
        </w:tc>
      </w:tr>
      <w:tr>
        <w:tc>
          <w:tcPr>
            <w:tcW w:type="dxa" w:w="3135"/>
          </w:tcPr>
          <w:p>
            <w:r>
              <w:rPr>
                <w:rFonts w:ascii="Courier New" w:hAnsi="Courier New"/>
                <w:color w:val="C7254E"/>
                <w:sz w:val="19"/>
              </w:rPr>
              <w:t>[AUDIT]</w:t>
            </w:r>
          </w:p>
        </w:tc>
        <w:tc>
          <w:tcPr>
            <w:tcW w:type="dxa" w:w="3135"/>
          </w:tcPr>
          <w:p>
            <w:r>
              <w:rPr>
                <w:sz w:val="19"/>
              </w:rPr>
              <w:t>audit_service.py</w:t>
            </w:r>
          </w:p>
        </w:tc>
        <w:tc>
          <w:tcPr>
            <w:tcW w:type="dxa" w:w="3135"/>
          </w:tcPr>
          <w:p>
            <w:r>
              <w:rPr>
                <w:sz w:val="19"/>
              </w:rPr>
              <w:t>Record persistence with ID</w:t>
            </w:r>
          </w:p>
        </w:tc>
      </w:tr>
      <w:tr>
        <w:tc>
          <w:tcPr>
            <w:tcW w:type="dxa" w:w="3135"/>
            <w:shd w:fill="EEF4FB" w:val="clear"/>
          </w:tcPr>
          <w:p>
            <w:r>
              <w:rPr>
                <w:rFonts w:ascii="Courier New" w:hAnsi="Courier New"/>
                <w:color w:val="C7254E"/>
                <w:sz w:val="19"/>
              </w:rPr>
              <w:t>[INGEST]</w:t>
            </w:r>
          </w:p>
        </w:tc>
        <w:tc>
          <w:tcPr>
            <w:tcW w:type="dxa" w:w="3135"/>
            <w:shd w:fill="EEF4FB" w:val="clear"/>
          </w:tcPr>
          <w:p>
            <w:r>
              <w:rPr>
                <w:sz w:val="19"/>
              </w:rPr>
              <w:t>ingestion_service.py</w:t>
            </w:r>
          </w:p>
        </w:tc>
        <w:tc>
          <w:tcPr>
            <w:tcW w:type="dxa" w:w="3135"/>
            <w:shd w:fill="EEF4FB" w:val="clear"/>
          </w:tcPr>
          <w:p>
            <w:r>
              <w:rPr>
                <w:sz w:val="19"/>
              </w:rPr>
              <w:t>Parse/chunk/embed progress</w:t>
            </w:r>
          </w:p>
        </w:tc>
      </w:tr>
      <w:tr>
        <w:tc>
          <w:tcPr>
            <w:tcW w:type="dxa" w:w="3135"/>
          </w:tcPr>
          <w:p>
            <w:r>
              <w:rPr>
                <w:rFonts w:ascii="Courier New" w:hAnsi="Courier New"/>
                <w:color w:val="C7254E"/>
                <w:sz w:val="19"/>
              </w:rPr>
              <w:t>[QDRANT]</w:t>
            </w:r>
          </w:p>
        </w:tc>
        <w:tc>
          <w:tcPr>
            <w:tcW w:type="dxa" w:w="3135"/>
          </w:tcPr>
          <w:p>
            <w:r>
              <w:rPr>
                <w:sz w:val="19"/>
              </w:rPr>
              <w:t>qdrant.py</w:t>
            </w:r>
          </w:p>
        </w:tc>
        <w:tc>
          <w:tcPr>
            <w:tcW w:type="dxa" w:w="3135"/>
          </w:tcPr>
          <w:p>
            <w:r>
              <w:rPr>
                <w:sz w:val="19"/>
              </w:rPr>
              <w:t>Collection creation/validation</w:t>
            </w:r>
          </w:p>
        </w:tc>
      </w:tr>
      <w:tr>
        <w:tc>
          <w:tcPr>
            <w:tcW w:type="dxa" w:w="3135"/>
            <w:shd w:fill="EEF4FB" w:val="clear"/>
          </w:tcPr>
          <w:p>
            <w:r>
              <w:rPr>
                <w:rFonts w:ascii="Courier New" w:hAnsi="Courier New"/>
                <w:color w:val="C7254E"/>
                <w:sz w:val="19"/>
              </w:rPr>
              <w:t>[SPARSE]</w:t>
            </w:r>
          </w:p>
        </w:tc>
        <w:tc>
          <w:tcPr>
            <w:tcW w:type="dxa" w:w="3135"/>
            <w:shd w:fill="EEF4FB" w:val="clear"/>
          </w:tcPr>
          <w:p>
            <w:r>
              <w:rPr>
                <w:sz w:val="19"/>
              </w:rPr>
              <w:t>sparse_embedding_service.py</w:t>
            </w:r>
          </w:p>
        </w:tc>
        <w:tc>
          <w:tcPr>
            <w:tcW w:type="dxa" w:w="3135"/>
            <w:shd w:fill="EEF4FB" w:val="clear"/>
          </w:tcPr>
          <w:p>
            <w:r>
              <w:rPr>
                <w:sz w:val="19"/>
              </w:rPr>
              <w:t>BM25 model loading</w:t>
            </w:r>
          </w:p>
        </w:tc>
      </w:tr>
      <w:tr>
        <w:tc>
          <w:tcPr>
            <w:tcW w:type="dxa" w:w="3135"/>
          </w:tcPr>
          <w:p>
            <w:r>
              <w:rPr>
                <w:rFonts w:ascii="Courier New" w:hAnsi="Courier New"/>
                <w:color w:val="C7254E"/>
                <w:sz w:val="19"/>
              </w:rPr>
              <w:t>[LLM]</w:t>
            </w:r>
          </w:p>
        </w:tc>
        <w:tc>
          <w:tcPr>
            <w:tcW w:type="dxa" w:w="3135"/>
          </w:tcPr>
          <w:p>
            <w:r>
              <w:rPr>
                <w:sz w:val="19"/>
              </w:rPr>
              <w:t>llm_client.py</w:t>
            </w:r>
          </w:p>
        </w:tc>
        <w:tc>
          <w:tcPr>
            <w:tcW w:type="dxa" w:w="3135"/>
          </w:tcPr>
          <w:p>
            <w:r>
              <w:rPr>
                <w:sz w:val="19"/>
              </w:rPr>
              <w:t>Provider + model used (DEBUG level)</w:t>
            </w:r>
          </w:p>
        </w:tc>
      </w:tr>
    </w:tbl>
    <w:p/>
    <w:p>
      <w:pPr>
        <w:pStyle w:val="Heading3"/>
      </w:pPr>
      <w:r>
        <w:t>Metrics Available in Audit Records</w:t>
      </w:r>
    </w:p>
    <w:p>
      <w:pPr>
        <w:spacing w:after="120"/>
      </w:pPr>
      <w:r>
        <w:t>Every workflow run produces the following observable metrics stored in PostgreSQL:</w:t>
      </w:r>
    </w:p>
    <w:p>
      <w:pPr>
        <w:pStyle w:val="ListBullet"/>
      </w:pPr>
      <w:r>
        <w:rPr>
          <w:rFonts w:ascii="Courier New" w:hAnsi="Courier New"/>
          <w:color w:val="C7254E"/>
          <w:sz w:val="18"/>
        </w:rPr>
        <w:t>duration_ms</w:t>
      </w:r>
      <w:r>
        <w:t xml:space="preserve"> — total end-to-end latency</w:t>
      </w:r>
    </w:p>
    <w:p>
      <w:pPr>
        <w:pStyle w:val="ListBullet"/>
      </w:pPr>
      <w:r>
        <w:rPr>
          <w:rFonts w:ascii="Courier New" w:hAnsi="Courier New"/>
          <w:color w:val="C7254E"/>
          <w:sz w:val="18"/>
        </w:rPr>
        <w:t>iteration_count</w:t>
      </w:r>
      <w:r>
        <w:t xml:space="preserve"> — number of critic loops triggered</w:t>
      </w:r>
    </w:p>
    <w:p>
      <w:pPr>
        <w:pStyle w:val="ListBullet"/>
      </w:pPr>
      <w:r>
        <w:rPr>
          <w:rFonts w:ascii="Courier New" w:hAnsi="Courier New"/>
          <w:color w:val="C7254E"/>
          <w:sz w:val="18"/>
        </w:rPr>
        <w:t>overall_risk_level</w:t>
      </w:r>
      <w:r>
        <w:t xml:space="preserve"> — CRITICAL / HIGH / MEDIUM / LOW</w:t>
      </w:r>
    </w:p>
    <w:p>
      <w:pPr>
        <w:pStyle w:val="ListBullet"/>
      </w:pPr>
      <w:r>
        <w:rPr>
          <w:rFonts w:ascii="Courier New" w:hAnsi="Courier New"/>
          <w:color w:val="C7254E"/>
          <w:sz w:val="18"/>
        </w:rPr>
        <w:t>hallucination_risk</w:t>
      </w:r>
      <w:r>
        <w:t xml:space="preserve"> — NONE / LOW / MEDIUM / HIGH</w:t>
      </w:r>
    </w:p>
    <w:p>
      <w:pPr>
        <w:pStyle w:val="ListBullet"/>
      </w:pPr>
      <w:r>
        <w:rPr>
          <w:rFonts w:ascii="Courier New" w:hAnsi="Courier New"/>
          <w:color w:val="C7254E"/>
          <w:sz w:val="18"/>
        </w:rPr>
        <w:t>grounding_score</w:t>
      </w:r>
      <w:r>
        <w:t xml:space="preserve"> — % of claims verified (0–100)</w:t>
      </w:r>
    </w:p>
    <w:p>
      <w:pPr>
        <w:pStyle w:val="ListBullet"/>
      </w:pPr>
      <w:r>
        <w:rPr>
          <w:rFonts w:ascii="Courier New" w:hAnsi="Courier New"/>
          <w:color w:val="C7254E"/>
          <w:sz w:val="18"/>
        </w:rPr>
        <w:t>status</w:t>
      </w:r>
      <w:r>
        <w:t xml:space="preserve"> — COMPLETED / (future: FAILED, TIMEOUT)</w:t>
      </w:r>
    </w:p>
    <w:p>
      <w:pPr>
        <w:pStyle w:val="Heading3"/>
      </w:pPr>
      <w:r>
        <w:t>Health Check</w:t>
      </w:r>
    </w:p>
    <w:p>
      <w:pPr>
        <w:spacing w:before="80" w:after="80"/>
        <w:ind w:left="432"/>
        <w:shd w:fill="F0F4F8" w:val="clear"/>
      </w:pPr>
      <w:r>
        <w:rPr>
          <w:rFonts w:ascii="Courier New" w:hAnsi="Courier New"/>
          <w:color w:val="1F1F1F"/>
          <w:sz w:val="17"/>
        </w:rPr>
        <w:t>GET /health  →  {"status": "ok"}</w:t>
      </w:r>
    </w:p>
    <w:p>
      <w:pPr>
        <w:pStyle w:val="Heading3"/>
      </w:pPr>
      <w:r>
        <w:t>Missing Observability (Gaps)</w:t>
      </w:r>
    </w:p>
    <w:p>
      <w:pPr>
        <w:pStyle w:val="ListBullet"/>
      </w:pPr>
      <w:r>
        <w:t>No distributed tracing (OpenTelemetry not configured)</w:t>
      </w:r>
    </w:p>
    <w:p>
      <w:pPr>
        <w:pStyle w:val="ListBullet"/>
      </w:pPr>
      <w:r>
        <w:t>No metrics exporter (Prometheus not configured)</w:t>
      </w:r>
    </w:p>
    <w:p>
      <w:pPr>
        <w:pStyle w:val="ListBullet"/>
      </w:pPr>
      <w:r>
        <w:t>No error alerting (Sentry/Datadog not integrated)</w:t>
      </w:r>
    </w:p>
    <w:p>
      <w:pPr>
        <w:pStyle w:val="ListBullet"/>
      </w:pPr>
      <w:r>
        <w:t>No structured log aggregation (ELK/Datadog not configured)</w:t>
      </w:r>
    </w:p>
    <w:p>
      <w:pPr>
        <w:pStyle w:val="ListBullet"/>
      </w:pPr>
      <w:r>
        <w:t>No LLM cost tracking per request</w:t>
      </w:r>
    </w:p>
    <w:p>
      <w:pPr>
        <w:pBdr>
          <w:bottom w:val="single" w:sz="4" w:space="1" w:color="CCCCCC"/>
        </w:pBdr>
      </w:pPr>
    </w:p>
    <w:p>
      <w:pPr>
        <w:pStyle w:val="Heading2"/>
      </w:pPr>
      <w:r>
        <w:t>13. End-to-End Request Walkthrough</w:t>
      </w:r>
    </w:p>
    <w:p>
      <w:pPr>
        <w:pStyle w:val="Heading3"/>
      </w:pPr>
      <w:r>
        <w:t>Scenario</w:t>
      </w:r>
    </w:p>
    <w:p>
      <w:pPr>
        <w:spacing w:before="40" w:after="40"/>
        <w:ind w:left="576"/>
      </w:pPr>
      <w:r>
        <w:rPr>
          <w:i/>
          <w:color w:val="555555"/>
        </w:rPr>
        <w:t>A compliance officer at a digital bank submits: "What complaint resolution timelines must we follow under CBN regulations?"</w:t>
      </w:r>
    </w:p>
    <w:p>
      <w:pPr>
        <w:pStyle w:val="Heading3"/>
      </w:pPr>
      <w:r>
        <w:t>Step-by-Step Trace</w:t>
      </w:r>
    </w:p>
    <w:p>
      <w:pPr>
        <w:spacing w:after="120"/>
      </w:pPr>
      <w:r>
        <w:rPr>
          <w:b/>
        </w:rPr>
        <w:t>Step 1 — HTTP Request received</w:t>
      </w:r>
    </w:p>
    <w:p>
      <w:pPr>
        <w:spacing w:before="80" w:after="80"/>
        <w:ind w:left="432"/>
        <w:shd w:fill="F0F4F8" w:val="clear"/>
      </w:pPr>
      <w:r>
        <w:rPr>
          <w:rFonts w:ascii="Courier New" w:hAnsi="Courier New"/>
          <w:color w:val="1F1F1F"/>
          <w:sz w:val="17"/>
        </w:rPr>
        <w:t>POST /analysis/analyze-business</w:t>
        <w:br/>
        <w:t>{</w:t>
        <w:br/>
        <w:t xml:space="preserve">  "query": "What complaint resolution timelines must we follow under CBN regulations?",</w:t>
        <w:br/>
        <w:t xml:space="preserve">  "organization_context": "Digital bank with retail customers"</w:t>
        <w:br/>
        <w:t>}</w:t>
      </w:r>
    </w:p>
    <w:p>
      <w:pPr>
        <w:spacing w:after="120"/>
      </w:pPr>
      <w:r>
        <w:t xml:space="preserve">FastAPI validates the request body via </w:t>
      </w:r>
      <w:r>
        <w:rPr>
          <w:rFonts w:ascii="Courier New" w:hAnsi="Courier New"/>
          <w:color w:val="C7254E"/>
          <w:sz w:val="18"/>
        </w:rPr>
        <w:t>AnalysisRequest</w:t>
      </w:r>
      <w:r>
        <w:t xml:space="preserve"> Pydantic model. A new </w:t>
      </w:r>
      <w:r>
        <w:rPr>
          <w:rFonts w:ascii="Courier New" w:hAnsi="Courier New"/>
          <w:color w:val="C7254E"/>
          <w:sz w:val="18"/>
        </w:rPr>
        <w:t>session_id</w:t>
      </w:r>
      <w:r>
        <w:t xml:space="preserve"> UUID is generated (none provided). </w:t>
      </w:r>
      <w:r>
        <w:rPr>
          <w:rFonts w:ascii="Courier New" w:hAnsi="Courier New"/>
          <w:color w:val="C7254E"/>
          <w:sz w:val="18"/>
        </w:rPr>
        <w:t>ComplianceService(db).analyze()</w:t>
      </w:r>
      <w:r>
        <w:t xml:space="preserve"> is called.</w:t>
      </w:r>
    </w:p>
    <w:p>
      <w:pPr>
        <w:pBdr>
          <w:bottom w:val="single" w:sz="4" w:space="1" w:color="CCCCCC"/>
        </w:pBdr>
      </w:pPr>
    </w:p>
    <w:p>
      <w:pPr>
        <w:spacing w:after="120"/>
      </w:pPr>
      <w:r>
        <w:rPr>
          <w:b/>
        </w:rPr>
        <w:t>Step 2 — LangGraph workflow starts</w:t>
      </w:r>
    </w:p>
    <w:p>
      <w:pPr>
        <w:spacing w:after="120"/>
      </w:pPr>
      <w:r>
        <w:rPr>
          <w:rFonts w:ascii="Courier New" w:hAnsi="Courier New"/>
          <w:color w:val="C7254E"/>
          <w:sz w:val="18"/>
        </w:rPr>
        <w:t>workflow.ainvoke(initial_state)</w:t>
      </w:r>
      <w:r>
        <w:t xml:space="preserve"> is called with:</w:t>
      </w:r>
    </w:p>
    <w:p>
      <w:pPr>
        <w:spacing w:before="80" w:after="80"/>
        <w:ind w:left="432"/>
        <w:shd w:fill="F0F4F8" w:val="clear"/>
      </w:pPr>
      <w:r>
        <w:rPr>
          <w:rFonts w:ascii="Courier New" w:hAnsi="Courier New"/>
          <w:color w:val="1F1F1F"/>
          <w:sz w:val="17"/>
        </w:rPr>
        <w:t>{</w:t>
        <w:br/>
        <w:t xml:space="preserve">    "query": "What complaint resolution timelines...",</w:t>
        <w:br/>
        <w:t xml:space="preserve">    "session_id": "abc-123-...",</w:t>
        <w:br/>
        <w:t xml:space="preserve">    "organization_context": "Digital bank with retail customers",</w:t>
        <w:br/>
        <w:t xml:space="preserve">    "iteration_count": 0,</w:t>
        <w:br/>
        <w:t xml:space="preserve">    "max_iterations": 2,</w:t>
        <w:br/>
        <w:t xml:space="preserve">    "agent_trace": []</w:t>
        <w:br/>
        <w:t>}</w:t>
      </w:r>
    </w:p>
    <w:p>
      <w:pPr>
        <w:pBdr>
          <w:bottom w:val="single" w:sz="4" w:space="1" w:color="CCCCCC"/>
        </w:pBdr>
      </w:pPr>
    </w:p>
    <w:p>
      <w:pPr>
        <w:spacing w:after="120"/>
      </w:pPr>
      <w:r>
        <w:rPr>
          <w:b/>
        </w:rPr>
        <w:t>Step 3 — Orchestrator Node</w:t>
      </w:r>
    </w:p>
    <w:p>
      <w:pPr>
        <w:spacing w:after="120"/>
      </w:pPr>
      <w:r>
        <w:rPr>
          <w:rFonts w:ascii="Courier New" w:hAnsi="Courier New"/>
          <w:color w:val="C7254E"/>
          <w:sz w:val="18"/>
        </w:rPr>
        <w:t>run_orchestrator()</w:t>
      </w:r>
      <w:r>
        <w:t xml:space="preserve"> calls OpenAI gpt-4o-mini with </w:t>
      </w:r>
      <w:r>
        <w:rPr>
          <w:rFonts w:ascii="Courier New" w:hAnsi="Courier New"/>
          <w:color w:val="C7254E"/>
          <w:sz w:val="18"/>
        </w:rPr>
        <w:t>ORCHESTRATOR_SYSTEM_PROMPT</w:t>
      </w:r>
      <w:r>
        <w:t xml:space="preserve"> + the query.</w:t>
      </w:r>
    </w:p>
    <w:p>
      <w:pPr>
        <w:spacing w:after="120"/>
      </w:pPr>
      <w:r>
        <w:t>LLM returns:</w:t>
      </w:r>
    </w:p>
    <w:p>
      <w:pPr>
        <w:spacing w:before="80" w:after="80"/>
        <w:ind w:left="432"/>
        <w:shd w:fill="F0F4F8" w:val="clear"/>
      </w:pPr>
      <w:r>
        <w:rPr>
          <w:rFonts w:ascii="Courier New" w:hAnsi="Courier New"/>
          <w:color w:val="1F1F1F"/>
          <w:sz w:val="17"/>
        </w:rPr>
        <w:t>{</w:t>
        <w:br/>
        <w:t xml:space="preserve">  "task_breakdown": ["identify complaint handling regulations", "retrieve CBN consumer protection rules", "analyse resolution timelines"],</w:t>
        <w:br/>
        <w:t xml:space="preserve">  "target_regulators": ["CBN"],</w:t>
        <w:br/>
        <w:t xml:space="preserve">  "context_summary": "Query about consumer complaint resolution obligations for a digital bank under CBN supervision.",</w:t>
        <w:br/>
        <w:t xml:space="preserve">  "query_type": "OBLIGATION_ANALYSIS"</w:t>
        <w:br/>
        <w:t>}</w:t>
      </w:r>
    </w:p>
    <w:p>
      <w:pPr>
        <w:spacing w:after="120"/>
      </w:pPr>
      <w:r>
        <w:t xml:space="preserve">State updated: </w:t>
      </w:r>
      <w:r>
        <w:rPr>
          <w:rFonts w:ascii="Courier New" w:hAnsi="Courier New"/>
          <w:color w:val="C7254E"/>
          <w:sz w:val="18"/>
        </w:rPr>
        <w:t>target_regulators=["CBN"]</w:t>
      </w:r>
      <w:r>
        <w:t xml:space="preserve">, </w:t>
      </w:r>
      <w:r>
        <w:rPr>
          <w:rFonts w:ascii="Courier New" w:hAnsi="Courier New"/>
          <w:color w:val="C7254E"/>
          <w:sz w:val="18"/>
        </w:rPr>
        <w:t>agent_trace=[{agent: "orchestrator", status: "completed"}]</w:t>
      </w:r>
    </w:p>
    <w:p>
      <w:pPr>
        <w:pBdr>
          <w:bottom w:val="single" w:sz="4" w:space="1" w:color="CCCCCC"/>
        </w:pBdr>
      </w:pPr>
    </w:p>
    <w:p>
      <w:pPr>
        <w:spacing w:after="120"/>
      </w:pPr>
      <w:r>
        <w:rPr>
          <w:b/>
        </w:rPr>
        <w:t>Step 4 — Jurisdiction Node</w:t>
      </w:r>
    </w:p>
    <w:p>
      <w:pPr>
        <w:spacing w:after="120"/>
      </w:pPr>
      <w:r>
        <w:rPr>
          <w:rFonts w:ascii="Courier New" w:hAnsi="Courier New"/>
          <w:color w:val="C7254E"/>
          <w:sz w:val="18"/>
        </w:rPr>
        <w:t>run_jurisdiction_mapping()</w:t>
      </w:r>
      <w:r>
        <w:t xml:space="preserve"> calls LLM. Returns:</w:t>
      </w:r>
    </w:p>
    <w:p>
      <w:pPr>
        <w:spacing w:before="80" w:after="80"/>
        <w:ind w:left="432"/>
        <w:shd w:fill="F0F4F8" w:val="clear"/>
      </w:pPr>
      <w:r>
        <w:rPr>
          <w:rFonts w:ascii="Courier New" w:hAnsi="Courier New"/>
          <w:color w:val="1F1F1F"/>
          <w:sz w:val="17"/>
        </w:rPr>
        <w:t>{</w:t>
        <w:br/>
        <w:t xml:space="preserve">  "applicable_regulators": [{"regulator": "CBN", "rationale": "CBN Consumer Protection Regulations govern complaint handling for licensed financial institutions"}],</w:t>
        <w:br/>
        <w:t xml:space="preserve">  "primary_regulator": "CBN",</w:t>
        <w:br/>
        <w:t xml:space="preserve">  "overlap_risks": []</w:t>
        <w:br/>
        <w:t>}</w:t>
      </w:r>
    </w:p>
    <w:p>
      <w:pPr>
        <w:pBdr>
          <w:bottom w:val="single" w:sz="4" w:space="1" w:color="CCCCCC"/>
        </w:pBdr>
      </w:pPr>
    </w:p>
    <w:p>
      <w:pPr>
        <w:spacing w:after="120"/>
      </w:pPr>
      <w:r>
        <w:rPr>
          <w:b/>
        </w:rPr>
        <w:t>Step 5 — Research Node</w:t>
      </w:r>
    </w:p>
    <w:p>
      <w:pPr>
        <w:spacing w:after="120"/>
      </w:pPr>
      <w:r>
        <w:rPr>
          <w:rFonts w:ascii="Courier New" w:hAnsi="Courier New"/>
          <w:color w:val="C7254E"/>
          <w:sz w:val="18"/>
        </w:rPr>
        <w:t>RetrievalService.retrieve(query, filter_regulators=["CBN"])</w:t>
      </w:r>
      <w:r>
        <w:t xml:space="preserve"> executes the 8-step pipeline:</w:t>
      </w:r>
    </w:p>
    <w:p>
      <w:pPr>
        <w:pStyle w:val="ListNumber"/>
      </w:pPr>
      <w:r>
        <w:t>LLM generates 2 legal rephrasings:</w:t>
      </w:r>
    </w:p>
    <w:p>
      <w:pPr>
        <w:pStyle w:val="ListBullet2"/>
      </w:pPr>
      <w:r>
        <w:t>"mandated timelines for consumer complaint resolution under CBN guidelines"</w:t>
      </w:r>
    </w:p>
    <w:p>
      <w:pPr>
        <w:pStyle w:val="ListBullet2"/>
      </w:pPr>
      <w:r>
        <w:t>"financial institution obligations for dispute resolution pursuant to CBN Consumer Protection Regulations"</w:t>
      </w:r>
    </w:p>
    <w:p>
      <w:pPr>
        <w:pStyle w:val="ListNumber"/>
      </w:pPr>
      <w:r>
        <w:t>For each of the 3 queries → dense embed → BM25 sparse embed → Qdrant hybrid search</w:t>
      </w:r>
    </w:p>
    <w:p>
      <w:pPr>
        <w:pStyle w:val="ListBullet2"/>
      </w:pPr>
      <w:r>
        <w:t>Retrieves chunks about: Part Five (Complaints Handling), Annexure D (resolution timelines), Part Six (sanctions for non-resolution)</w:t>
      </w:r>
    </w:p>
    <w:p>
      <w:pPr>
        <w:pStyle w:val="ListNumber"/>
      </w:pPr>
      <w:r>
        <w:t>Deduplication → cross-encoder reranking → freshness scoring → MMR diversity → contextual compression</w:t>
      </w:r>
    </w:p>
    <w:p>
      <w:pPr>
        <w:spacing w:after="120"/>
      </w:pPr>
      <w:r>
        <w:t>Returns 6 highly relevant chunks specifically about complaint procedures.</w:t>
      </w:r>
    </w:p>
    <w:p>
      <w:pPr>
        <w:pBdr>
          <w:bottom w:val="single" w:sz="4" w:space="1" w:color="CCCCCC"/>
        </w:pBdr>
      </w:pPr>
    </w:p>
    <w:p>
      <w:pPr>
        <w:spacing w:after="120"/>
      </w:pPr>
      <w:r>
        <w:rPr>
          <w:b/>
        </w:rPr>
        <w:t>Step 6 — Reasoning Node</w:t>
      </w:r>
    </w:p>
    <w:p>
      <w:pPr>
        <w:spacing w:after="120"/>
      </w:pPr>
      <w:r>
        <w:rPr>
          <w:rFonts w:ascii="Courier New" w:hAnsi="Courier New"/>
          <w:color w:val="C7254E"/>
          <w:sz w:val="18"/>
        </w:rPr>
        <w:t>run_reasoning()</w:t>
      </w:r>
      <w:r>
        <w:t xml:space="preserve"> sends all 6 chunks to LLM with </w:t>
      </w:r>
      <w:r>
        <w:rPr>
          <w:rFonts w:ascii="Courier New" w:hAnsi="Courier New"/>
          <w:color w:val="C7254E"/>
          <w:sz w:val="18"/>
        </w:rPr>
        <w:t>REASONING_SYSTEM_PROMPT</w:t>
      </w:r>
      <w:r>
        <w:t>.</w:t>
      </w:r>
    </w:p>
    <w:p>
      <w:pPr>
        <w:spacing w:after="120"/>
      </w:pPr>
      <w:r>
        <w:t>LLM synthesises:</w:t>
      </w:r>
    </w:p>
    <w:p>
      <w:pPr>
        <w:spacing w:before="80" w:after="80"/>
        <w:ind w:left="432"/>
        <w:shd w:fill="F0F4F8" w:val="clear"/>
      </w:pPr>
      <w:r>
        <w:rPr>
          <w:rFonts w:ascii="Courier New" w:hAnsi="Courier New"/>
          <w:color w:val="1F1F1F"/>
          <w:sz w:val="17"/>
        </w:rPr>
        <w:t>{</w:t>
        <w:br/>
        <w:t xml:space="preserve">  "obligations": [</w:t>
        <w:br/>
        <w:t xml:space="preserve">    {</w:t>
        <w:br/>
        <w:t xml:space="preserve">      "description": "Institutions must resolve declined transaction complaints within 3 working days",</w:t>
        <w:br/>
        <w:t xml:space="preserve">      "citation": "CBN Consumer Protection Regulations, Part Six, Annexure D, Page 39",</w:t>
        <w:br/>
        <w:t xml:space="preserve">      "regulator": "CBN"</w:t>
        <w:br/>
        <w:t xml:space="preserve">    }</w:t>
        <w:br/>
        <w:t xml:space="preserve">  ],</w:t>
        <w:br/>
        <w:t xml:space="preserve">  "prohibitions": [...],</w:t>
        <w:br/>
        <w:t xml:space="preserve">  "conflicts": [],</w:t>
        <w:br/>
        <w:t xml:space="preserve">  "reasoning_summary": "The CBN Consumer Protection Regulations impose specific complaint resolution timelines...",</w:t>
        <w:br/>
        <w:t xml:space="preserve">  "confidence": "HIGH"</w:t>
        <w:br/>
        <w:t>}</w:t>
      </w:r>
    </w:p>
    <w:p>
      <w:pPr>
        <w:pBdr>
          <w:bottom w:val="single" w:sz="4" w:space="1" w:color="CCCCCC"/>
        </w:pBdr>
      </w:pPr>
    </w:p>
    <w:p>
      <w:pPr>
        <w:spacing w:after="120"/>
      </w:pPr>
      <w:r>
        <w:rPr>
          <w:b/>
        </w:rPr>
        <w:t>Step 7 — Auditor Node</w:t>
      </w:r>
    </w:p>
    <w:p>
      <w:pPr>
        <w:spacing w:after="120"/>
      </w:pPr>
      <w:r>
        <w:rPr>
          <w:rFonts w:ascii="Courier New" w:hAnsi="Courier New"/>
          <w:color w:val="C7254E"/>
          <w:sz w:val="18"/>
        </w:rPr>
        <w:t>run_audit()</w:t>
      </w:r>
      <w:r>
        <w:t xml:space="preserve"> receives the reasoning output and produces a compliance checklist:</w:t>
      </w:r>
    </w:p>
    <w:p>
      <w:pPr>
        <w:spacing w:before="80" w:after="80"/>
        <w:ind w:left="432"/>
        <w:shd w:fill="F0F4F8" w:val="clear"/>
      </w:pPr>
      <w:r>
        <w:rPr>
          <w:rFonts w:ascii="Courier New" w:hAnsi="Courier New"/>
          <w:color w:val="1F1F1F"/>
          <w:sz w:val="17"/>
        </w:rPr>
        <w:t>{</w:t>
        <w:br/>
        <w:t xml:space="preserve">  "risk_score": 4,</w:t>
        <w:br/>
        <w:t xml:space="preserve">  "risk_level": "MEDIUM",</w:t>
        <w:br/>
        <w:t xml:space="preserve">  "compliance_checklist": [</w:t>
        <w:br/>
        <w:t xml:space="preserve">    {"requirement": "Complaint tracking system", "status": "UNKNOWN", "citation": "Part Five, 6.1"},</w:t>
        <w:br/>
        <w:t xml:space="preserve">    {"requirement": "Summary Resolution Communication (SRC)", "status": "UNKNOWN", "citation": "Part Five, 6.3.11"}</w:t>
        <w:br/>
        <w:t xml:space="preserve">  ],</w:t>
        <w:br/>
        <w:t xml:space="preserve">  "licensing_requirements": [],</w:t>
        <w:br/>
        <w:t xml:space="preserve">  "recommendations": ["Implement a complaint management system with SLA tracking", "Send SRC for all resolved complaints"]</w:t>
        <w:br/>
        <w:t>}</w:t>
      </w:r>
    </w:p>
    <w:p>
      <w:pPr>
        <w:pBdr>
          <w:bottom w:val="single" w:sz="4" w:space="1" w:color="CCCCCC"/>
        </w:pBdr>
      </w:pPr>
    </w:p>
    <w:p>
      <w:pPr>
        <w:spacing w:after="120"/>
      </w:pPr>
      <w:r>
        <w:rPr>
          <w:b/>
        </w:rPr>
        <w:t>Step 8 — Citation Verifier</w:t>
      </w:r>
    </w:p>
    <w:p>
      <w:pPr>
        <w:spacing w:after="120"/>
      </w:pPr>
      <w:r>
        <w:t>Checks every claim in reasoning + audit output against the 6 retrieved chunks.</w:t>
      </w:r>
    </w:p>
    <w:p>
      <w:pPr>
        <w:pStyle w:val="ListBullet"/>
      </w:pPr>
      <w:r>
        <w:t>Finds 8 of 9 claims have direct chunk support</w:t>
      </w:r>
    </w:p>
    <w:p>
      <w:pPr>
        <w:pStyle w:val="ListBullet"/>
      </w:pPr>
      <w:r>
        <w:rPr>
          <w:rFonts w:ascii="Courier New" w:hAnsi="Courier New"/>
          <w:color w:val="C7254E"/>
          <w:sz w:val="18"/>
        </w:rPr>
        <w:t>overall_grounding_score: 89</w:t>
      </w:r>
    </w:p>
    <w:p>
      <w:pPr>
        <w:pStyle w:val="ListBullet"/>
      </w:pPr>
      <w:r>
        <w:rPr>
          <w:rFonts w:ascii="Courier New" w:hAnsi="Courier New"/>
          <w:color w:val="C7254E"/>
          <w:sz w:val="18"/>
        </w:rPr>
        <w:t>hallucination_risk: LOW</w:t>
      </w:r>
    </w:p>
    <w:p>
      <w:pPr>
        <w:pBdr>
          <w:bottom w:val="single" w:sz="4" w:space="1" w:color="CCCCCC"/>
        </w:pBdr>
      </w:pPr>
    </w:p>
    <w:p>
      <w:pPr>
        <w:spacing w:after="120"/>
      </w:pPr>
      <w:r>
        <w:rPr>
          <w:b/>
        </w:rPr>
        <w:t>Step 9 — Critic Node</w:t>
      </w:r>
    </w:p>
    <w:p>
      <w:pPr>
        <w:spacing w:after="120"/>
      </w:pPr>
      <w:r>
        <w:t>Reviews all outputs. Finds one issue: "Missing analysis of sanctions for non-compliance with timelines."</w:t>
      </w:r>
    </w:p>
    <w:p>
      <w:pPr>
        <w:pStyle w:val="ListBullet"/>
      </w:pPr>
      <w:r>
        <w:rPr>
          <w:rFonts w:ascii="Courier New" w:hAnsi="Courier New"/>
          <w:color w:val="C7254E"/>
          <w:sz w:val="18"/>
        </w:rPr>
        <w:t>quality_score: 7</w:t>
      </w:r>
    </w:p>
    <w:p>
      <w:pPr>
        <w:pStyle w:val="ListBullet"/>
      </w:pPr>
      <w:r>
        <w:rPr>
          <w:rFonts w:ascii="Courier New" w:hAnsi="Courier New"/>
          <w:color w:val="C7254E"/>
          <w:sz w:val="18"/>
        </w:rPr>
        <w:t>overall_assessment: PASS_WITH_REVISIONS</w:t>
      </w:r>
    </w:p>
    <w:p>
      <w:pPr>
        <w:spacing w:after="120"/>
      </w:pPr>
      <w:r>
        <w:t xml:space="preserve">Since assessment is not "FAIL", </w:t>
      </w:r>
      <w:r>
        <w:rPr>
          <w:rFonts w:ascii="Courier New" w:hAnsi="Courier New"/>
          <w:color w:val="C7254E"/>
          <w:sz w:val="18"/>
        </w:rPr>
        <w:t>route_after_critic()</w:t>
      </w:r>
      <w:r>
        <w:t xml:space="preserve"> returns </w:t>
      </w:r>
      <w:r>
        <w:rPr>
          <w:rFonts w:ascii="Courier New" w:hAnsi="Courier New"/>
          <w:color w:val="C7254E"/>
          <w:sz w:val="18"/>
        </w:rPr>
        <w:t>"end"</w:t>
      </w:r>
      <w:r>
        <w:t>.</w:t>
      </w:r>
    </w:p>
    <w:p>
      <w:pPr>
        <w:pBdr>
          <w:bottom w:val="single" w:sz="4" w:space="1" w:color="CCCCCC"/>
        </w:pBdr>
      </w:pPr>
    </w:p>
    <w:p>
      <w:pPr>
        <w:spacing w:after="120"/>
      </w:pPr>
      <w:r>
        <w:rPr>
          <w:b/>
        </w:rPr>
        <w:t>Step 10 — Audit Persistence</w:t>
      </w:r>
    </w:p>
    <w:p>
      <w:pPr>
        <w:spacing w:after="120"/>
      </w:pPr>
      <w:r>
        <w:rPr>
          <w:rFonts w:ascii="Courier New" w:hAnsi="Courier New"/>
          <w:color w:val="C7254E"/>
          <w:sz w:val="18"/>
        </w:rPr>
        <w:t>AuditService.create_record()</w:t>
      </w:r>
      <w:r>
        <w:t xml:space="preserve"> builds the audit record from the final workflow state and writes to PostgreSQL.</w:t>
      </w:r>
    </w:p>
    <w:p>
      <w:pPr>
        <w:spacing w:after="120"/>
      </w:pPr>
      <w:r>
        <w:t xml:space="preserve">Record saved: </w:t>
      </w:r>
      <w:r>
        <w:rPr>
          <w:rFonts w:ascii="Courier New" w:hAnsi="Courier New"/>
          <w:color w:val="C7254E"/>
          <w:sz w:val="18"/>
        </w:rPr>
        <w:t>id = a040e06d-...</w:t>
      </w:r>
      <w:r>
        <w:t xml:space="preserve">, </w:t>
      </w:r>
      <w:r>
        <w:rPr>
          <w:rFonts w:ascii="Courier New" w:hAnsi="Courier New"/>
          <w:color w:val="C7254E"/>
          <w:sz w:val="18"/>
        </w:rPr>
        <w:t>duration_ms = 98320</w:t>
      </w:r>
      <w:r>
        <w:t xml:space="preserve">, </w:t>
      </w:r>
      <w:r>
        <w:rPr>
          <w:rFonts w:ascii="Courier New" w:hAnsi="Courier New"/>
          <w:color w:val="C7254E"/>
          <w:sz w:val="18"/>
        </w:rPr>
        <w:t>grounding_score = 89</w:t>
      </w:r>
      <w:r>
        <w:t xml:space="preserve">, </w:t>
      </w:r>
      <w:r>
        <w:rPr>
          <w:rFonts w:ascii="Courier New" w:hAnsi="Courier New"/>
          <w:color w:val="C7254E"/>
          <w:sz w:val="18"/>
        </w:rPr>
        <w:t>risk_level = MEDIUM</w:t>
      </w:r>
      <w:r>
        <w:t>.</w:t>
      </w:r>
    </w:p>
    <w:p>
      <w:pPr>
        <w:pBdr>
          <w:bottom w:val="single" w:sz="4" w:space="1" w:color="CCCCCC"/>
        </w:pBdr>
      </w:pPr>
    </w:p>
    <w:p>
      <w:pPr>
        <w:spacing w:after="120"/>
      </w:pPr>
      <w:r>
        <w:rPr>
          <w:b/>
        </w:rPr>
        <w:t>Step 11 — Response returned</w:t>
      </w:r>
    </w:p>
    <w:p>
      <w:pPr>
        <w:spacing w:after="120"/>
      </w:pPr>
      <w:r>
        <w:t xml:space="preserve">FastAPI returns the structured JSON response with </w:t>
      </w:r>
      <w:r>
        <w:rPr>
          <w:rFonts w:ascii="Courier New" w:hAnsi="Courier New"/>
          <w:color w:val="C7254E"/>
          <w:sz w:val="18"/>
        </w:rPr>
        <w:t>audit_id</w:t>
      </w:r>
      <w:r>
        <w:t xml:space="preserve">, </w:t>
      </w:r>
      <w:r>
        <w:rPr>
          <w:rFonts w:ascii="Courier New" w:hAnsi="Courier New"/>
          <w:color w:val="C7254E"/>
          <w:sz w:val="18"/>
        </w:rPr>
        <w:t>session_id</w:t>
      </w:r>
      <w:r>
        <w:t xml:space="preserve">, </w:t>
      </w:r>
      <w:r>
        <w:rPr>
          <w:rFonts w:ascii="Courier New" w:hAnsi="Courier New"/>
          <w:color w:val="C7254E"/>
          <w:sz w:val="18"/>
        </w:rPr>
        <w:t>final_report</w:t>
      </w:r>
      <w:r>
        <w:t xml:space="preserve">, </w:t>
      </w:r>
      <w:r>
        <w:rPr>
          <w:rFonts w:ascii="Courier New" w:hAnsi="Courier New"/>
          <w:color w:val="C7254E"/>
          <w:sz w:val="18"/>
        </w:rPr>
        <w:t>citations</w:t>
      </w:r>
      <w:r>
        <w:t xml:space="preserve">, </w:t>
      </w:r>
      <w:r>
        <w:rPr>
          <w:rFonts w:ascii="Courier New" w:hAnsi="Courier New"/>
          <w:color w:val="C7254E"/>
          <w:sz w:val="18"/>
        </w:rPr>
        <w:t>agent_trace</w:t>
      </w:r>
      <w:r>
        <w:t xml:space="preserve">, </w:t>
      </w:r>
      <w:r>
        <w:rPr>
          <w:rFonts w:ascii="Courier New" w:hAnsi="Courier New"/>
          <w:color w:val="C7254E"/>
          <w:sz w:val="18"/>
        </w:rPr>
        <w:t>duration_ms</w:t>
      </w:r>
      <w:r>
        <w:t>.</w:t>
      </w:r>
    </w:p>
    <w:p>
      <w:pPr>
        <w:spacing w:after="120"/>
      </w:pPr>
      <w:r>
        <w:t>The compliance officer has a citation-backed, auditable compliance report in under 2 minutes.</w:t>
      </w:r>
    </w:p>
    <w:p>
      <w:pPr>
        <w:pBdr>
          <w:bottom w:val="single" w:sz="4" w:space="1" w:color="CCCCCC"/>
        </w:pBdr>
      </w:pPr>
    </w:p>
    <w:p>
      <w:pPr>
        <w:pStyle w:val="Heading2"/>
      </w:pPr>
      <w:r>
        <w:t>14. Engineering Decisions</w:t>
      </w:r>
    </w:p>
    <w:p>
      <w:pPr>
        <w:pStyle w:val="Heading3"/>
      </w:pPr>
      <w:r>
        <w:t>Why FastAPI?</w:t>
      </w:r>
    </w:p>
    <w:p>
      <w:pPr>
        <w:pStyle w:val="ListBullet"/>
      </w:pPr>
      <w:r>
        <w:t>Native async support — critical for concurrent LLM calls and DB operations</w:t>
      </w:r>
    </w:p>
    <w:p>
      <w:pPr>
        <w:pStyle w:val="ListBullet"/>
      </w:pPr>
      <w:r>
        <w:t>Pydantic v2 integration — automatic request/response validation</w:t>
      </w:r>
    </w:p>
    <w:p>
      <w:pPr>
        <w:pStyle w:val="ListBullet"/>
      </w:pPr>
      <w:r>
        <w:t xml:space="preserve">OpenAPI schema auto-generated — instant API documentation at </w:t>
      </w:r>
      <w:r>
        <w:rPr>
          <w:rFonts w:ascii="Courier New" w:hAnsi="Courier New"/>
          <w:color w:val="C7254E"/>
          <w:sz w:val="18"/>
        </w:rPr>
        <w:t>/docs</w:t>
      </w:r>
    </w:p>
    <w:p>
      <w:pPr>
        <w:pStyle w:val="ListBullet"/>
      </w:pPr>
      <w:r>
        <w:t>Lightweight — no ORM framework overhead in the HTTP layer</w:t>
      </w:r>
    </w:p>
    <w:p>
      <w:pPr>
        <w:pStyle w:val="Heading3"/>
      </w:pPr>
      <w:r>
        <w:t>Why LangGraph over LangChain Chains?</w:t>
      </w:r>
    </w:p>
    <w:p>
      <w:pPr>
        <w:spacing w:after="120"/>
      </w:pPr>
      <w:r>
        <w:t xml:space="preserve">LangGraph provides </w:t>
      </w:r>
      <w:r>
        <w:rPr>
          <w:b/>
        </w:rPr>
        <w:t>stateful, typed, graph-based</w:t>
      </w:r>
      <w:r>
        <w:t xml:space="preserve"> workflow control. This is essential because:</w:t>
      </w:r>
    </w:p>
    <w:p>
      <w:pPr>
        <w:pStyle w:val="ListBullet"/>
      </w:pPr>
      <w:r>
        <w:t>Agents need to share accumulated state (chunks, reasoning, audit results)</w:t>
      </w:r>
    </w:p>
    <w:p>
      <w:pPr>
        <w:pStyle w:val="ListBullet"/>
      </w:pPr>
      <w:r>
        <w:t>Conditional routing is needed (critic can loop back to reasoning)</w:t>
      </w:r>
    </w:p>
    <w:p>
      <w:pPr>
        <w:pStyle w:val="ListBullet"/>
      </w:pPr>
      <w:r>
        <w:t>Each node is independently testable</w:t>
      </w:r>
    </w:p>
    <w:p>
      <w:pPr>
        <w:pStyle w:val="ListBullet"/>
      </w:pPr>
      <w:r>
        <w:t>State transitions are explicit and auditable</w:t>
      </w:r>
    </w:p>
    <w:p>
      <w:pPr>
        <w:spacing w:after="120"/>
      </w:pPr>
      <w:r>
        <w:t>Plain LangChain chains are sequential and don't support conditional back-edges or typed shared state cleanly.</w:t>
      </w:r>
    </w:p>
    <w:p>
      <w:pPr>
        <w:pStyle w:val="Heading3"/>
      </w:pPr>
      <w:r>
        <w:t>Why Qdrant with Hybrid Search (Dense + Sparse)?</w:t>
      </w:r>
    </w:p>
    <w:p>
      <w:pPr>
        <w:spacing w:after="120"/>
      </w:pPr>
      <w:r>
        <w:t>Pure semantic search (dense vectors) excels at meaning but misses exact terms like regulation names, section numbers, or specific legal phrases. BM25 (sparse) excels at exact term matching. Combining both via RRF fusion captures both:</w:t>
      </w:r>
    </w:p>
    <w:p>
      <w:pPr>
        <w:pStyle w:val="ListBullet"/>
      </w:pPr>
      <w:r>
        <w:t>Dense: "what are the consumer complaint rules?" → finds semantically related chunks</w:t>
      </w:r>
    </w:p>
    <w:p>
      <w:pPr>
        <w:pStyle w:val="ListBullet"/>
      </w:pPr>
      <w:r>
        <w:t>Sparse: "CBN CPR Section 6.3.11" → finds exact section references</w:t>
      </w:r>
    </w:p>
    <w:p>
      <w:pPr>
        <w:pStyle w:val="Heading3"/>
      </w:pPr>
      <w:r>
        <w:t>Why BAAI/bge-base-en-v1.5?</w:t>
      </w:r>
    </w:p>
    <w:p>
      <w:pPr>
        <w:pStyle w:val="ListBullet"/>
      </w:pPr>
      <w:r>
        <w:t>768 dimensions — sufficient resolution for legal text</w:t>
      </w:r>
    </w:p>
    <w:p>
      <w:pPr>
        <w:pStyle w:val="ListBullet"/>
      </w:pPr>
      <w:r>
        <w:t>Normalized embeddings (cosine = dot product) — Qdrant cosine similarity works correctly</w:t>
      </w:r>
    </w:p>
    <w:p>
      <w:pPr>
        <w:pStyle w:val="ListBullet"/>
      </w:pPr>
      <w:r>
        <w:t>Runs on CPU — no GPU infrastructure required for MVP</w:t>
      </w:r>
    </w:p>
    <w:p>
      <w:pPr>
        <w:pStyle w:val="ListBullet"/>
      </w:pPr>
      <w:r>
        <w:t>Strong performance on domain-specific English text</w:t>
      </w:r>
    </w:p>
    <w:p>
      <w:pPr>
        <w:pStyle w:val="Heading3"/>
      </w:pPr>
      <w:r>
        <w:t>Why a Cross-Encoder Reranker?</w:t>
      </w:r>
    </w:p>
    <w:p>
      <w:pPr>
        <w:spacing w:after="120"/>
      </w:pPr>
      <w:r>
        <w:t>Bi-encoders (like the embedding model) compute query and document embeddings independently. Cross-encoders see both query and document simultaneously via attention, capturing interaction between them. This produces significantly better ranking quality at the cost of being slower (can't pre-compute). Used as a post-retrieval step where latency allows.</w:t>
      </w:r>
    </w:p>
    <w:p>
      <w:pPr>
        <w:pStyle w:val="Heading3"/>
      </w:pPr>
      <w:r>
        <w:t>Why gpt-4o-mini over gpt-4o?</w:t>
      </w:r>
    </w:p>
    <w:p>
      <w:pPr>
        <w:spacing w:after="120"/>
      </w:pPr>
      <w:r>
        <w:t xml:space="preserve">For MVP/demo purposes, </w:t>
      </w:r>
      <w:r>
        <w:rPr>
          <w:rFonts w:ascii="Courier New" w:hAnsi="Courier New"/>
          <w:color w:val="C7254E"/>
          <w:sz w:val="18"/>
        </w:rPr>
        <w:t>gpt-4o-mini</w:t>
      </w:r>
      <w:r>
        <w:t>:</w:t>
      </w:r>
    </w:p>
    <w:p>
      <w:pPr>
        <w:pStyle w:val="ListBullet"/>
      </w:pPr>
      <w:r>
        <w:t xml:space="preserve">~10× cheaper than </w:t>
      </w:r>
      <w:r>
        <w:rPr>
          <w:rFonts w:ascii="Courier New" w:hAnsi="Courier New"/>
          <w:color w:val="C7254E"/>
          <w:sz w:val="18"/>
        </w:rPr>
        <w:t>gpt-4o</w:t>
      </w:r>
    </w:p>
    <w:p>
      <w:pPr>
        <w:pStyle w:val="ListBullet"/>
      </w:pPr>
      <w:r>
        <w:t>Sufficient reasoning quality for structured JSON output tasks</w:t>
      </w:r>
    </w:p>
    <w:p>
      <w:pPr>
        <w:pStyle w:val="ListBullet"/>
      </w:pPr>
      <w:r>
        <w:t>~2–3× faster response times</w:t>
      </w:r>
    </w:p>
    <w:p>
      <w:pPr>
        <w:pStyle w:val="ListBullet"/>
      </w:pPr>
      <w:r>
        <w:t xml:space="preserve">Configurable — swap to </w:t>
      </w:r>
      <w:r>
        <w:rPr>
          <w:rFonts w:ascii="Courier New" w:hAnsi="Courier New"/>
          <w:color w:val="C7254E"/>
          <w:sz w:val="18"/>
        </w:rPr>
        <w:t>gpt-4o</w:t>
      </w:r>
      <w:r>
        <w:t xml:space="preserve"> or </w:t>
      </w:r>
      <w:r>
        <w:rPr>
          <w:rFonts w:ascii="Courier New" w:hAnsi="Courier New"/>
          <w:color w:val="C7254E"/>
          <w:sz w:val="18"/>
        </w:rPr>
        <w:t>gpt-4-turbo</w:t>
      </w:r>
      <w:r>
        <w:t xml:space="preserve"> for production</w:t>
      </w:r>
    </w:p>
    <w:p>
      <w:pPr>
        <w:pStyle w:val="Heading3"/>
      </w:pPr>
      <w:r>
        <w:t>Why Python `TypedDict` for LangGraph State (not Pydantic)?</w:t>
      </w:r>
    </w:p>
    <w:p>
      <w:pPr>
        <w:spacing w:after="120"/>
      </w:pPr>
      <w:r>
        <w:t xml:space="preserve">LangGraph's </w:t>
      </w:r>
      <w:r>
        <w:rPr>
          <w:rFonts w:ascii="Courier New" w:hAnsi="Courier New"/>
          <w:color w:val="C7254E"/>
          <w:sz w:val="18"/>
        </w:rPr>
        <w:t>StateGraph</w:t>
      </w:r>
      <w:r>
        <w:t xml:space="preserve"> requires </w:t>
      </w:r>
      <w:r>
        <w:rPr>
          <w:rFonts w:ascii="Courier New" w:hAnsi="Courier New"/>
          <w:color w:val="C7254E"/>
          <w:sz w:val="18"/>
        </w:rPr>
        <w:t>TypedDict</w:t>
      </w:r>
      <w:r>
        <w:t xml:space="preserve"> for state definitions. This is a framework constraint — LangGraph performs internal state merging that is incompatible with Pydantic's validation model.</w:t>
      </w:r>
    </w:p>
    <w:p>
      <w:pPr>
        <w:pStyle w:val="Heading3"/>
      </w:pPr>
      <w:r>
        <w:t>Why Synchronous Embeddings (no `await`)?</w:t>
      </w:r>
    </w:p>
    <w:p>
      <w:pPr>
        <w:spacing w:after="120"/>
      </w:pPr>
      <w:r>
        <w:rPr>
          <w:rFonts w:ascii="Courier New" w:hAnsi="Courier New"/>
          <w:color w:val="C7254E"/>
          <w:sz w:val="18"/>
        </w:rPr>
        <w:t>sentence-transformers</w:t>
      </w:r>
      <w:r>
        <w:t xml:space="preserve"> uses PyTorch under the hood and is CPU-bound (not I/O-bound). Running it synchronously is correct — making it async would add overhead without benefit, and wrapping in </w:t>
      </w:r>
      <w:r>
        <w:rPr>
          <w:rFonts w:ascii="Courier New" w:hAnsi="Courier New"/>
          <w:color w:val="C7254E"/>
          <w:sz w:val="18"/>
        </w:rPr>
        <w:t>asyncio.run_in_executor</w:t>
      </w:r>
      <w:r>
        <w:t xml:space="preserve"> would be premature optimization for MVP.</w:t>
      </w:r>
    </w:p>
    <w:p>
      <w:pPr>
        <w:pStyle w:val="Heading3"/>
      </w:pPr>
      <w:r>
        <w:t>Why `total=False` on AgentState?</w:t>
      </w:r>
    </w:p>
    <w:p>
      <w:pPr>
        <w:spacing w:before="80" w:after="80"/>
        <w:ind w:left="432"/>
        <w:shd w:fill="F0F4F8" w:val="clear"/>
      </w:pPr>
      <w:r>
        <w:rPr>
          <w:rFonts w:ascii="Courier New" w:hAnsi="Courier New"/>
          <w:color w:val="1F1F1F"/>
          <w:sz w:val="17"/>
        </w:rPr>
        <w:t>class AgentState(TypedDict, total=False):</w:t>
      </w:r>
    </w:p>
    <w:p>
      <w:pPr>
        <w:spacing w:after="120"/>
      </w:pPr>
      <w:r>
        <w:rPr>
          <w:rFonts w:ascii="Courier New" w:hAnsi="Courier New"/>
          <w:color w:val="C7254E"/>
          <w:sz w:val="18"/>
        </w:rPr>
        <w:t>total=False</w:t>
      </w:r>
      <w:r>
        <w:t xml:space="preserve"> means all keys are optional. This is correct because the state is built incrementally — early nodes don't have </w:t>
      </w:r>
      <w:r>
        <w:rPr>
          <w:rFonts w:ascii="Courier New" w:hAnsi="Courier New"/>
          <w:color w:val="C7254E"/>
          <w:sz w:val="18"/>
        </w:rPr>
        <w:t>reasoning_result</w:t>
      </w:r>
      <w:r>
        <w:t xml:space="preserve"> or </w:t>
      </w:r>
      <w:r>
        <w:rPr>
          <w:rFonts w:ascii="Courier New" w:hAnsi="Courier New"/>
          <w:color w:val="C7254E"/>
          <w:sz w:val="18"/>
        </w:rPr>
        <w:t>audit_result</w:t>
      </w:r>
      <w:r>
        <w:t xml:space="preserve"> yet. Without </w:t>
      </w:r>
      <w:r>
        <w:rPr>
          <w:rFonts w:ascii="Courier New" w:hAnsi="Courier New"/>
          <w:color w:val="C7254E"/>
          <w:sz w:val="18"/>
        </w:rPr>
        <w:t>total=False</w:t>
      </w:r>
      <w:r>
        <w:t>, TypedDict would require all keys to be present at all times.</w:t>
      </w:r>
    </w:p>
    <w:p>
      <w:pPr>
        <w:pBdr>
          <w:bottom w:val="single" w:sz="4" w:space="1" w:color="CCCCCC"/>
        </w:pBdr>
      </w:pPr>
    </w:p>
    <w:p>
      <w:pPr>
        <w:pStyle w:val="Heading2"/>
      </w:pPr>
      <w:r>
        <w:t>15. Technical Debt &amp; Risks</w:t>
      </w:r>
    </w:p>
    <w:p>
      <w:pPr>
        <w:pStyle w:val="Heading3"/>
      </w:pPr>
      <w:r>
        <w:t>P0 — Must fix before production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Issue</w:t>
            </w:r>
          </w:p>
        </w:tc>
        <w:tc>
          <w:tcPr>
            <w:tcW w:type="dxa" w:w="3135"/>
            <w:shd w:fill="1E569A" w:val="clear"/>
          </w:tcPr>
          <w:p>
            <w:r>
              <w:rPr>
                <w:b/>
                <w:color w:val="FFFFFF"/>
                <w:sz w:val="19"/>
              </w:rPr>
              <w:t>Risk</w:t>
            </w:r>
          </w:p>
        </w:tc>
        <w:tc>
          <w:tcPr>
            <w:tcW w:type="dxa" w:w="3135"/>
            <w:shd w:fill="1E569A" w:val="clear"/>
          </w:tcPr>
          <w:p>
            <w:r>
              <w:rPr>
                <w:b/>
                <w:color w:val="FFFFFF"/>
                <w:sz w:val="19"/>
              </w:rPr>
              <w:t>Location</w:t>
            </w:r>
          </w:p>
        </w:tc>
      </w:tr>
      <w:tr>
        <w:tc>
          <w:tcPr>
            <w:tcW w:type="dxa" w:w="3135"/>
          </w:tcPr>
          <w:p>
            <w:r>
              <w:rPr>
                <w:b/>
                <w:sz w:val="19"/>
              </w:rPr>
              <w:t>No authentication</w:t>
            </w:r>
          </w:p>
        </w:tc>
        <w:tc>
          <w:tcPr>
            <w:tcW w:type="dxa" w:w="3135"/>
          </w:tcPr>
          <w:p>
            <w:r>
              <w:rPr>
                <w:sz w:val="19"/>
              </w:rPr>
              <w:t>Any user can submit queries and read all audit records</w:t>
            </w:r>
          </w:p>
        </w:tc>
        <w:tc>
          <w:tcPr>
            <w:tcW w:type="dxa" w:w="3135"/>
          </w:tcPr>
          <w:p>
            <w:r>
              <w:rPr>
                <w:sz w:val="19"/>
              </w:rPr>
              <w:t>All API routes</w:t>
            </w:r>
          </w:p>
        </w:tc>
      </w:tr>
      <w:tr>
        <w:tc>
          <w:tcPr>
            <w:tcW w:type="dxa" w:w="3135"/>
            <w:shd w:fill="EEF4FB" w:val="clear"/>
          </w:tcPr>
          <w:p>
            <w:r>
              <w:rPr>
                <w:b/>
                <w:sz w:val="19"/>
              </w:rPr>
              <w:t>No rate limiting</w:t>
            </w:r>
          </w:p>
        </w:tc>
        <w:tc>
          <w:tcPr>
            <w:tcW w:type="dxa" w:w="3135"/>
            <w:shd w:fill="EEF4FB" w:val="clear"/>
          </w:tcPr>
          <w:p>
            <w:r>
              <w:rPr>
                <w:sz w:val="19"/>
              </w:rPr>
              <w:t>LLM API costs unbounded; potential DoS via expensive queries</w:t>
            </w:r>
          </w:p>
        </w:tc>
        <w:tc>
          <w:tcPr>
            <w:tcW w:type="dxa" w:w="3135"/>
            <w:shd w:fill="EEF4FB" w:val="clear"/>
          </w:tcPr>
          <w:p>
            <w:r>
              <w:rPr>
                <w:rFonts w:ascii="Courier New" w:hAnsi="Courier New"/>
                <w:color w:val="C7254E"/>
                <w:sz w:val="19"/>
              </w:rPr>
              <w:t>/analysis/analyze-business</w:t>
            </w:r>
          </w:p>
        </w:tc>
      </w:tr>
      <w:tr>
        <w:tc>
          <w:tcPr>
            <w:tcW w:type="dxa" w:w="3135"/>
          </w:tcPr>
          <w:p>
            <w:r>
              <w:rPr>
                <w:b/>
                <w:sz w:val="19"/>
              </w:rPr>
              <w:t>`create_all` instead of Alembic</w:t>
            </w:r>
          </w:p>
        </w:tc>
        <w:tc>
          <w:tcPr>
            <w:tcW w:type="dxa" w:w="3135"/>
          </w:tcPr>
          <w:p>
            <w:r>
              <w:rPr>
                <w:sz w:val="19"/>
              </w:rPr>
              <w:t>Schema changes will not migrate existing databases</w:t>
            </w:r>
          </w:p>
        </w:tc>
        <w:tc>
          <w:tcPr>
            <w:tcW w:type="dxa" w:w="3135"/>
          </w:tcPr>
          <w:p>
            <w:r>
              <w:rPr>
                <w:rFonts w:ascii="Courier New" w:hAnsi="Courier New"/>
                <w:color w:val="C7254E"/>
                <w:sz w:val="19"/>
              </w:rPr>
              <w:t>app/db/postgres.py:init_db()</w:t>
            </w:r>
          </w:p>
        </w:tc>
      </w:tr>
      <w:tr>
        <w:tc>
          <w:tcPr>
            <w:tcW w:type="dxa" w:w="3135"/>
            <w:shd w:fill="EEF4FB" w:val="clear"/>
          </w:tcPr>
          <w:p>
            <w:r>
              <w:rPr>
                <w:b/>
                <w:sz w:val="19"/>
              </w:rPr>
              <w:t>OPENAI_API_KEY in .env</w:t>
            </w:r>
          </w:p>
        </w:tc>
        <w:tc>
          <w:tcPr>
            <w:tcW w:type="dxa" w:w="3135"/>
            <w:shd w:fill="EEF4FB" w:val="clear"/>
          </w:tcPr>
          <w:p>
            <w:r>
              <w:rPr>
                <w:sz w:val="19"/>
              </w:rPr>
              <w:t xml:space="preserve">If </w:t>
            </w:r>
            <w:r>
              <w:rPr>
                <w:rFonts w:ascii="Courier New" w:hAnsi="Courier New"/>
                <w:color w:val="C7254E"/>
                <w:sz w:val="19"/>
              </w:rPr>
              <w:t>.env</w:t>
            </w:r>
            <w:r>
              <w:rPr>
                <w:sz w:val="19"/>
              </w:rPr>
              <w:t xml:space="preserve"> is committed or exposed, key is leaked</w:t>
            </w:r>
          </w:p>
        </w:tc>
        <w:tc>
          <w:tcPr>
            <w:tcW w:type="dxa" w:w="3135"/>
            <w:shd w:fill="EEF4FB" w:val="clear"/>
          </w:tcPr>
          <w:p>
            <w:r>
              <w:rPr>
                <w:rFonts w:ascii="Courier New" w:hAnsi="Courier New"/>
                <w:color w:val="C7254E"/>
                <w:sz w:val="19"/>
              </w:rPr>
              <w:t>.env</w:t>
            </w:r>
            <w:r>
              <w:rPr>
                <w:sz w:val="19"/>
              </w:rPr>
              <w:t xml:space="preserve"> / deployment</w:t>
            </w:r>
          </w:p>
        </w:tc>
      </w:tr>
    </w:tbl>
    <w:p/>
    <w:p>
      <w:pPr>
        <w:pStyle w:val="Heading3"/>
      </w:pPr>
      <w:r>
        <w:t>P1 — Should fix soon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Issue</w:t>
            </w:r>
          </w:p>
        </w:tc>
        <w:tc>
          <w:tcPr>
            <w:tcW w:type="dxa" w:w="3135"/>
            <w:shd w:fill="1E569A" w:val="clear"/>
          </w:tcPr>
          <w:p>
            <w:r>
              <w:rPr>
                <w:b/>
                <w:color w:val="FFFFFF"/>
                <w:sz w:val="19"/>
              </w:rPr>
              <w:t>Risk</w:t>
            </w:r>
          </w:p>
        </w:tc>
        <w:tc>
          <w:tcPr>
            <w:tcW w:type="dxa" w:w="3135"/>
            <w:shd w:fill="1E569A" w:val="clear"/>
          </w:tcPr>
          <w:p>
            <w:r>
              <w:rPr>
                <w:b/>
                <w:color w:val="FFFFFF"/>
                <w:sz w:val="19"/>
              </w:rPr>
              <w:t>Location</w:t>
            </w:r>
          </w:p>
        </w:tc>
      </w:tr>
      <w:tr>
        <w:tc>
          <w:tcPr>
            <w:tcW w:type="dxa" w:w="3135"/>
          </w:tcPr>
          <w:p>
            <w:r>
              <w:rPr>
                <w:b/>
                <w:sz w:val="19"/>
              </w:rPr>
              <w:t>No test suite</w:t>
            </w:r>
          </w:p>
        </w:tc>
        <w:tc>
          <w:tcPr>
            <w:tcW w:type="dxa" w:w="3135"/>
          </w:tcPr>
          <w:p>
            <w:r>
              <w:rPr>
                <w:sz w:val="19"/>
              </w:rPr>
              <w:t>Regressions undetected; agents untestable in isolation</w:t>
            </w:r>
          </w:p>
        </w:tc>
        <w:tc>
          <w:tcPr>
            <w:tcW w:type="dxa" w:w="3135"/>
          </w:tcPr>
          <w:p>
            <w:r>
              <w:rPr>
                <w:rFonts w:ascii="Courier New" w:hAnsi="Courier New"/>
                <w:color w:val="C7254E"/>
                <w:sz w:val="19"/>
              </w:rPr>
              <w:t>tests/</w:t>
            </w:r>
            <w:r>
              <w:rPr>
                <w:sz w:val="19"/>
              </w:rPr>
              <w:t xml:space="preserve"> (empty)</w:t>
            </w:r>
          </w:p>
        </w:tc>
      </w:tr>
      <w:tr>
        <w:tc>
          <w:tcPr>
            <w:tcW w:type="dxa" w:w="3135"/>
            <w:shd w:fill="EEF4FB" w:val="clear"/>
          </w:tcPr>
          <w:p>
            <w:r>
              <w:rPr>
                <w:b/>
                <w:sz w:val="19"/>
              </w:rPr>
              <w:t>No CORS configuration</w:t>
            </w:r>
          </w:p>
        </w:tc>
        <w:tc>
          <w:tcPr>
            <w:tcW w:type="dxa" w:w="3135"/>
            <w:shd w:fill="EEF4FB" w:val="clear"/>
          </w:tcPr>
          <w:p>
            <w:r>
              <w:rPr>
                <w:sz w:val="19"/>
              </w:rPr>
              <w:t>Browser-based frontends blocked or open to all origins</w:t>
            </w:r>
          </w:p>
        </w:tc>
        <w:tc>
          <w:tcPr>
            <w:tcW w:type="dxa" w:w="3135"/>
            <w:shd w:fill="EEF4FB" w:val="clear"/>
          </w:tcPr>
          <w:p>
            <w:r>
              <w:rPr>
                <w:rFonts w:ascii="Courier New" w:hAnsi="Courier New"/>
                <w:color w:val="C7254E"/>
                <w:sz w:val="19"/>
              </w:rPr>
              <w:t>app/main.py</w:t>
            </w:r>
          </w:p>
        </w:tc>
      </w:tr>
      <w:tr>
        <w:tc>
          <w:tcPr>
            <w:tcW w:type="dxa" w:w="3135"/>
          </w:tcPr>
          <w:p>
            <w:r>
              <w:rPr>
                <w:b/>
                <w:sz w:val="19"/>
              </w:rPr>
              <w:t>Reranker cold start</w:t>
            </w:r>
          </w:p>
        </w:tc>
        <w:tc>
          <w:tcPr>
            <w:tcW w:type="dxa" w:w="3135"/>
          </w:tcPr>
          <w:p>
            <w:r>
              <w:rPr>
                <w:sz w:val="19"/>
              </w:rPr>
              <w:t>First request takes 4+ minutes to download 2.27GB model</w:t>
            </w:r>
          </w:p>
        </w:tc>
        <w:tc>
          <w:tcPr>
            <w:tcW w:type="dxa" w:w="3135"/>
          </w:tcPr>
          <w:p>
            <w:r>
              <w:rPr>
                <w:rFonts w:ascii="Courier New" w:hAnsi="Courier New"/>
                <w:color w:val="C7254E"/>
                <w:sz w:val="19"/>
              </w:rPr>
              <w:t>app/utils/reranking.py</w:t>
            </w:r>
          </w:p>
        </w:tc>
      </w:tr>
      <w:tr>
        <w:tc>
          <w:tcPr>
            <w:tcW w:type="dxa" w:w="3135"/>
            <w:shd w:fill="EEF4FB" w:val="clear"/>
          </w:tcPr>
          <w:p>
            <w:r>
              <w:rPr>
                <w:b/>
                <w:sz w:val="19"/>
              </w:rPr>
              <w:t>Orchestrator prompt duplication</w:t>
            </w:r>
          </w:p>
        </w:tc>
        <w:tc>
          <w:tcPr>
            <w:tcW w:type="dxa" w:w="3135"/>
            <w:shd w:fill="EEF4FB" w:val="clear"/>
          </w:tcPr>
          <w:p>
            <w:r>
              <w:rPr>
                <w:sz w:val="19"/>
              </w:rPr>
              <w:t xml:space="preserve">Two versions of </w:t>
            </w:r>
            <w:r>
              <w:rPr>
                <w:rFonts w:ascii="Courier New" w:hAnsi="Courier New"/>
                <w:color w:val="C7254E"/>
                <w:sz w:val="19"/>
              </w:rPr>
              <w:t>ORCHESTRATOR_SYSTEM_PROMPT</w:t>
            </w:r>
            <w:r>
              <w:rPr>
                <w:sz w:val="19"/>
              </w:rPr>
              <w:t xml:space="preserve"> in same file (second overrides first)</w:t>
            </w:r>
          </w:p>
        </w:tc>
        <w:tc>
          <w:tcPr>
            <w:tcW w:type="dxa" w:w="3135"/>
            <w:shd w:fill="EEF4FB" w:val="clear"/>
          </w:tcPr>
          <w:p>
            <w:r>
              <w:rPr>
                <w:rFonts w:ascii="Courier New" w:hAnsi="Courier New"/>
                <w:color w:val="C7254E"/>
                <w:sz w:val="19"/>
              </w:rPr>
              <w:t>app/prompts/orchestrator.py</w:t>
            </w:r>
          </w:p>
        </w:tc>
      </w:tr>
      <w:tr>
        <w:tc>
          <w:tcPr>
            <w:tcW w:type="dxa" w:w="3135"/>
          </w:tcPr>
          <w:p>
            <w:r>
              <w:rPr>
                <w:b/>
                <w:sz w:val="19"/>
              </w:rPr>
              <w:t>Redis dormant</w:t>
            </w:r>
          </w:p>
        </w:tc>
        <w:tc>
          <w:tcPr>
            <w:tcW w:type="dxa" w:w="3135"/>
          </w:tcPr>
          <w:p>
            <w:r>
              <w:rPr>
                <w:sz w:val="19"/>
              </w:rPr>
              <w:t>Provisioned but unused — no caching or session persistence</w:t>
            </w:r>
          </w:p>
        </w:tc>
        <w:tc>
          <w:tcPr>
            <w:tcW w:type="dxa" w:w="3135"/>
          </w:tcPr>
          <w:p>
            <w:r>
              <w:rPr>
                <w:rFonts w:ascii="Courier New" w:hAnsi="Courier New"/>
                <w:color w:val="C7254E"/>
                <w:sz w:val="19"/>
              </w:rPr>
              <w:t>docker-compose.yml</w:t>
            </w:r>
          </w:p>
        </w:tc>
      </w:tr>
    </w:tbl>
    <w:p/>
    <w:p>
      <w:pPr>
        <w:pStyle w:val="Heading3"/>
      </w:pPr>
      <w:r>
        <w:t>P2 — Technical debt</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Issue</w:t>
            </w:r>
          </w:p>
        </w:tc>
        <w:tc>
          <w:tcPr>
            <w:tcW w:type="dxa" w:w="4703"/>
            <w:shd w:fill="1E569A" w:val="clear"/>
          </w:tcPr>
          <w:p>
            <w:r>
              <w:rPr>
                <w:b/>
                <w:color w:val="FFFFFF"/>
                <w:sz w:val="19"/>
              </w:rPr>
              <w:t>Notes</w:t>
            </w:r>
          </w:p>
        </w:tc>
      </w:tr>
      <w:tr>
        <w:tc>
          <w:tcPr>
            <w:tcW w:type="dxa" w:w="4703"/>
          </w:tcPr>
          <w:p>
            <w:r>
              <w:rPr>
                <w:b/>
                <w:sz w:val="19"/>
              </w:rPr>
              <w:t>Inline Pydantic models in routes</w:t>
            </w:r>
          </w:p>
        </w:tc>
        <w:tc>
          <w:tcPr>
            <w:tcW w:type="dxa" w:w="4703"/>
          </w:tcPr>
          <w:p>
            <w:r>
              <w:rPr>
                <w:rFonts w:ascii="Courier New" w:hAnsi="Courier New"/>
                <w:color w:val="C7254E"/>
                <w:sz w:val="19"/>
              </w:rPr>
              <w:t>AnalysisRequest</w:t>
            </w:r>
            <w:r>
              <w:rPr>
                <w:sz w:val="19"/>
              </w:rPr>
              <w:t xml:space="preserve"> defined directly in </w:t>
            </w:r>
            <w:r>
              <w:rPr>
                <w:rFonts w:ascii="Courier New" w:hAnsi="Courier New"/>
                <w:color w:val="C7254E"/>
                <w:sz w:val="19"/>
              </w:rPr>
              <w:t>analysis.py</w:t>
            </w:r>
            <w:r>
              <w:rPr>
                <w:sz w:val="19"/>
              </w:rPr>
              <w:t xml:space="preserve"> — should move to </w:t>
            </w:r>
            <w:r>
              <w:rPr>
                <w:rFonts w:ascii="Courier New" w:hAnsi="Courier New"/>
                <w:color w:val="C7254E"/>
                <w:sz w:val="19"/>
              </w:rPr>
              <w:t>app/models/requests.py</w:t>
            </w:r>
          </w:p>
        </w:tc>
      </w:tr>
      <w:tr>
        <w:tc>
          <w:tcPr>
            <w:tcW w:type="dxa" w:w="4703"/>
            <w:shd w:fill="EEF4FB" w:val="clear"/>
          </w:tcPr>
          <w:p>
            <w:r>
              <w:rPr>
                <w:b/>
                <w:sz w:val="19"/>
              </w:rPr>
              <w:t>No request ID / correlation ID</w:t>
            </w:r>
          </w:p>
        </w:tc>
        <w:tc>
          <w:tcPr>
            <w:tcW w:type="dxa" w:w="4703"/>
            <w:shd w:fill="EEF4FB" w:val="clear"/>
          </w:tcPr>
          <w:p>
            <w:r>
              <w:rPr>
                <w:sz w:val="19"/>
              </w:rPr>
              <w:t>Multi-agent logs are hard to trace across concurrent requests</w:t>
            </w:r>
          </w:p>
        </w:tc>
      </w:tr>
      <w:tr>
        <w:tc>
          <w:tcPr>
            <w:tcW w:type="dxa" w:w="4703"/>
          </w:tcPr>
          <w:p>
            <w:r>
              <w:rPr>
                <w:b/>
                <w:sz w:val="19"/>
              </w:rPr>
              <w:t>Synchronous embedding blocks event loop</w:t>
            </w:r>
          </w:p>
        </w:tc>
        <w:tc>
          <w:tcPr>
            <w:tcW w:type="dxa" w:w="4703"/>
          </w:tcPr>
          <w:p>
            <w:r>
              <w:rPr>
                <w:rFonts w:ascii="Courier New" w:hAnsi="Courier New"/>
                <w:color w:val="C7254E"/>
                <w:sz w:val="19"/>
              </w:rPr>
              <w:t>embed_text()</w:t>
            </w:r>
            <w:r>
              <w:rPr>
                <w:sz w:val="19"/>
              </w:rPr>
              <w:t xml:space="preserve"> is CPU-bound synchronous; should use </w:t>
            </w:r>
            <w:r>
              <w:rPr>
                <w:rFonts w:ascii="Courier New" w:hAnsi="Courier New"/>
                <w:color w:val="C7254E"/>
                <w:sz w:val="19"/>
              </w:rPr>
              <w:t>run_in_executor</w:t>
            </w:r>
            <w:r>
              <w:rPr>
                <w:sz w:val="19"/>
              </w:rPr>
              <w:t xml:space="preserve"> for production throughput</w:t>
            </w:r>
          </w:p>
        </w:tc>
      </w:tr>
      <w:tr>
        <w:tc>
          <w:tcPr>
            <w:tcW w:type="dxa" w:w="4703"/>
            <w:shd w:fill="EEF4FB" w:val="clear"/>
          </w:tcPr>
          <w:p>
            <w:r>
              <w:rPr>
                <w:b/>
                <w:sz w:val="19"/>
              </w:rPr>
              <w:t>`max_iterations` hardcoded to 2</w:t>
            </w:r>
          </w:p>
        </w:tc>
        <w:tc>
          <w:tcPr>
            <w:tcW w:type="dxa" w:w="4703"/>
            <w:shd w:fill="EEF4FB" w:val="clear"/>
          </w:tcPr>
          <w:p>
            <w:r>
              <w:rPr>
                <w:sz w:val="19"/>
              </w:rPr>
              <w:t>Should be a request-level parameter</w:t>
            </w:r>
          </w:p>
        </w:tc>
      </w:tr>
      <w:tr>
        <w:tc>
          <w:tcPr>
            <w:tcW w:type="dxa" w:w="4703"/>
          </w:tcPr>
          <w:p>
            <w:r>
              <w:rPr>
                <w:b/>
                <w:sz w:val="19"/>
              </w:rPr>
              <w:t>Chunking uses approximate token count</w:t>
            </w:r>
          </w:p>
        </w:tc>
        <w:tc>
          <w:tcPr>
            <w:tcW w:type="dxa" w:w="4703"/>
          </w:tcPr>
          <w:p>
            <w:r>
              <w:rPr>
                <w:rFonts w:ascii="Courier New" w:hAnsi="Courier New"/>
                <w:color w:val="C7254E"/>
                <w:sz w:val="19"/>
              </w:rPr>
              <w:t>MAX_CHUNK_SIZE = 1000</w:t>
            </w:r>
            <w:r>
              <w:rPr>
                <w:sz w:val="19"/>
              </w:rPr>
              <w:t xml:space="preserve"> in chars/4 — real token counts differ</w:t>
            </w:r>
          </w:p>
        </w:tc>
      </w:tr>
      <w:tr>
        <w:tc>
          <w:tcPr>
            <w:tcW w:type="dxa" w:w="4703"/>
            <w:shd w:fill="EEF4FB" w:val="clear"/>
          </w:tcPr>
          <w:p>
            <w:r>
              <w:rPr>
                <w:b/>
                <w:sz w:val="19"/>
              </w:rPr>
              <w:t>No embedding model versioning</w:t>
            </w:r>
          </w:p>
        </w:tc>
        <w:tc>
          <w:tcPr>
            <w:tcW w:type="dxa" w:w="4703"/>
            <w:shd w:fill="EEF4FB" w:val="clear"/>
          </w:tcPr>
          <w:p>
            <w:r>
              <w:rPr>
                <w:sz w:val="19"/>
              </w:rPr>
              <w:t>If model changes, re-ingestion of all documents required</w:t>
            </w:r>
          </w:p>
        </w:tc>
      </w:tr>
      <w:tr>
        <w:tc>
          <w:tcPr>
            <w:tcW w:type="dxa" w:w="4703"/>
          </w:tcPr>
          <w:p>
            <w:r>
              <w:rPr>
                <w:b/>
                <w:sz w:val="19"/>
              </w:rPr>
              <w:t>Qdrant `qdrant/qdrant:latest` tag</w:t>
            </w:r>
          </w:p>
        </w:tc>
        <w:tc>
          <w:tcPr>
            <w:tcW w:type="dxa" w:w="4703"/>
          </w:tcPr>
          <w:p>
            <w:r>
              <w:rPr>
                <w:sz w:val="19"/>
              </w:rPr>
              <w:t>Unpinned version in docker-compose risks breaking changes on pull</w:t>
            </w:r>
          </w:p>
        </w:tc>
      </w:tr>
    </w:tbl>
    <w:p/>
    <w:p>
      <w:pPr>
        <w:pStyle w:val="Heading3"/>
      </w:pPr>
      <w:r>
        <w:t>Bottlenecks</w:t>
      </w:r>
    </w:p>
    <w:p>
      <w:pPr>
        <w:pStyle w:val="ListNumber"/>
      </w:pPr>
      <w:r>
        <w:rPr>
          <w:b/>
        </w:rPr>
        <w:t>LLM sequential pipeline</w:t>
      </w:r>
      <w:r>
        <w:t>: 7 agents × (30–180s each) = 90–120s total. Not parallelizable without architectural changes (each agent depends on prior output).</w:t>
      </w:r>
    </w:p>
    <w:p>
      <w:pPr>
        <w:pStyle w:val="ListNumber"/>
      </w:pPr>
      <w:r>
        <w:rPr>
          <w:b/>
        </w:rPr>
        <w:t>Cross-encoder reranker on CPU</w:t>
      </w:r>
      <w:r>
        <w:t>: 2.27GB model, CPU inference — scales poorly under concurrent load.</w:t>
      </w:r>
    </w:p>
    <w:p>
      <w:pPr>
        <w:pStyle w:val="ListNumber"/>
      </w:pPr>
      <w:r>
        <w:rPr>
          <w:b/>
        </w:rPr>
        <w:t>Single Qdrant instance</w:t>
      </w:r>
      <w:r>
        <w:t>: No replication; single point of failure for retrieval.</w:t>
      </w:r>
    </w:p>
    <w:p>
      <w:pPr>
        <w:pStyle w:val="ListNumber"/>
      </w:pPr>
      <w:r>
        <w:rPr>
          <w:b/>
        </w:rPr>
        <w:t>Synchronous database session per request</w:t>
      </w:r>
      <w:r>
        <w:t>: Connection pool (size=10, max_overflow=20) limits concurrency.</w:t>
      </w:r>
    </w:p>
    <w:p>
      <w:pPr>
        <w:pBdr>
          <w:bottom w:val="single" w:sz="4" w:space="1" w:color="CCCCCC"/>
        </w:pBdr>
      </w:pPr>
    </w:p>
    <w:p>
      <w:pPr>
        <w:pStyle w:val="Heading2"/>
      </w:pPr>
      <w:r>
        <w:t>16. Future Roadmap</w:t>
      </w:r>
    </w:p>
    <w:p>
      <w:pPr>
        <w:pStyle w:val="Heading3"/>
      </w:pPr>
      <w:r>
        <w:t>Near-Term (MVP → Production)</w:t>
      </w:r>
    </w:p>
    <w:p>
      <w:pPr>
        <w:pStyle w:val="ListNumber"/>
      </w:pPr>
      <w:r>
        <w:rPr>
          <w:b/>
        </w:rPr>
        <w:t>Authentication &amp; RBAC</w:t>
      </w:r>
      <w:r>
        <w:t xml:space="preserve"> — JWT tokens, user management, organization-level access control</w:t>
      </w:r>
    </w:p>
    <w:p>
      <w:pPr>
        <w:pStyle w:val="ListNumber"/>
      </w:pPr>
      <w:r>
        <w:rPr>
          <w:b/>
        </w:rPr>
        <w:t>Alembic migrations</w:t>
      </w:r>
      <w:r>
        <w:t xml:space="preserve"> — versioned database schema management</w:t>
      </w:r>
    </w:p>
    <w:p>
      <w:pPr>
        <w:pStyle w:val="ListNumber"/>
      </w:pPr>
      <w:r>
        <w:rPr>
          <w:b/>
        </w:rPr>
        <w:t>Test suite</w:t>
      </w:r>
      <w:r>
        <w:t xml:space="preserve"> — unit tests for agents (mock LLM), integration tests for API routes, RAG pipeline evaluation</w:t>
      </w:r>
    </w:p>
    <w:p>
      <w:pPr>
        <w:pStyle w:val="ListNumber"/>
      </w:pPr>
      <w:r>
        <w:rPr>
          <w:b/>
        </w:rPr>
        <w:t>Rate limiting</w:t>
      </w:r>
      <w:r>
        <w:t xml:space="preserve"> — per-user and per-organization request quotas</w:t>
      </w:r>
    </w:p>
    <w:p>
      <w:pPr>
        <w:pStyle w:val="ListNumber"/>
      </w:pPr>
      <w:r>
        <w:rPr>
          <w:b/>
        </w:rPr>
        <w:t>Model warm-up</w:t>
      </w:r>
      <w:r>
        <w:t xml:space="preserve"> — pre-load reranker and embedding models at startup, not on first request</w:t>
      </w:r>
    </w:p>
    <w:p>
      <w:pPr>
        <w:pStyle w:val="ListNumber"/>
      </w:pPr>
      <w:r>
        <w:rPr>
          <w:b/>
        </w:rPr>
        <w:t>Streaming responses</w:t>
      </w:r>
      <w:r>
        <w:t xml:space="preserve"> — stream agent progress to the client in real-time via SSE/WebSocket</w:t>
      </w:r>
    </w:p>
    <w:p>
      <w:pPr>
        <w:pStyle w:val="Heading3"/>
      </w:pPr>
      <w:r>
        <w:t>Medium-Term (Scale &amp; Quality)</w:t>
      </w:r>
    </w:p>
    <w:p>
      <w:pPr>
        <w:pStyle w:val="ListNumber"/>
      </w:pPr>
      <w:r>
        <w:rPr>
          <w:b/>
        </w:rPr>
        <w:t>Chainlit frontend</w:t>
      </w:r>
      <w:r>
        <w:t xml:space="preserve"> — Regulatory Intelligence Console with agent trace visualization</w:t>
      </w:r>
    </w:p>
    <w:p>
      <w:pPr>
        <w:pStyle w:val="ListNumber"/>
      </w:pPr>
      <w:r>
        <w:rPr>
          <w:b/>
        </w:rPr>
        <w:t>Redis session management</w:t>
      </w:r>
      <w:r>
        <w:t xml:space="preserve"> — persistent conversation sessions, query caching</w:t>
      </w:r>
    </w:p>
    <w:p>
      <w:pPr>
        <w:pStyle w:val="ListNumber"/>
      </w:pPr>
      <w:r>
        <w:rPr>
          <w:b/>
        </w:rPr>
        <w:t>More regulators</w:t>
      </w:r>
      <w:r>
        <w:t xml:space="preserve"> — FCCPC, NITDA, NDPA, BOFIA documents</w:t>
      </w:r>
    </w:p>
    <w:p>
      <w:pPr>
        <w:pStyle w:val="ListNumber"/>
      </w:pPr>
      <w:r>
        <w:rPr>
          <w:b/>
        </w:rPr>
        <w:t>Compliance gap analysis endpoint</w:t>
      </w:r>
      <w:r>
        <w:t xml:space="preserve"> — upload company policy docs; compare against regulations</w:t>
      </w:r>
    </w:p>
    <w:p>
      <w:pPr>
        <w:pStyle w:val="ListNumber"/>
      </w:pPr>
      <w:r>
        <w:rPr>
          <w:b/>
        </w:rPr>
        <w:t>Evaluation framework</w:t>
      </w:r>
      <w:r>
        <w:t xml:space="preserve"> — RAG evaluation with RAGAS (faithfulness, answer relevance, context precision)</w:t>
      </w:r>
    </w:p>
    <w:p>
      <w:pPr>
        <w:pStyle w:val="ListNumber"/>
      </w:pPr>
      <w:r>
        <w:rPr>
          <w:b/>
        </w:rPr>
        <w:t>LLM cost tracking</w:t>
      </w:r>
      <w:r>
        <w:t xml:space="preserve"> — per-request token usage tracked and stored</w:t>
      </w:r>
    </w:p>
    <w:p>
      <w:pPr>
        <w:pStyle w:val="ListNumber"/>
      </w:pPr>
      <w:r>
        <w:rPr>
          <w:b/>
        </w:rPr>
        <w:t>Async embedding</w:t>
      </w:r>
      <w:r>
        <w:t xml:space="preserve"> — </w:t>
      </w:r>
      <w:r>
        <w:rPr>
          <w:rFonts w:ascii="Courier New" w:hAnsi="Courier New"/>
          <w:color w:val="C7254E"/>
          <w:sz w:val="18"/>
        </w:rPr>
        <w:t>run_in_executor</w:t>
      </w:r>
      <w:r>
        <w:t xml:space="preserve"> for CPU-bound embedding to unblock event loop</w:t>
      </w:r>
    </w:p>
    <w:p>
      <w:pPr>
        <w:pStyle w:val="Heading3"/>
      </w:pPr>
      <w:r>
        <w:t>Long-Term (Platform)</w:t>
      </w:r>
    </w:p>
    <w:p>
      <w:pPr>
        <w:pStyle w:val="ListNumber"/>
      </w:pPr>
      <w:r>
        <w:rPr>
          <w:b/>
        </w:rPr>
        <w:t>Multi-tenancy</w:t>
      </w:r>
      <w:r>
        <w:t xml:space="preserve"> — Organization isolation, custom document collections per client</w:t>
      </w:r>
    </w:p>
    <w:p>
      <w:pPr>
        <w:pStyle w:val="ListNumber"/>
      </w:pPr>
      <w:r>
        <w:rPr>
          <w:b/>
        </w:rPr>
        <w:t>Regulatory monitoring</w:t>
      </w:r>
      <w:r>
        <w:t xml:space="preserve"> — watch regulator websites for new circulars/guidelines; auto-ingest and notify</w:t>
      </w:r>
    </w:p>
    <w:p>
      <w:pPr>
        <w:pStyle w:val="ListNumber"/>
      </w:pPr>
      <w:r>
        <w:rPr>
          <w:b/>
        </w:rPr>
        <w:t>Compliance workflow integration</w:t>
      </w:r>
      <w:r>
        <w:t xml:space="preserve"> — export reports to compliance management systems (e.g., Jira, Confluence)</w:t>
      </w:r>
    </w:p>
    <w:p>
      <w:pPr>
        <w:pStyle w:val="ListNumber"/>
      </w:pPr>
      <w:r>
        <w:rPr>
          <w:b/>
        </w:rPr>
        <w:t>Fine-tuned embedding model</w:t>
      </w:r>
      <w:r>
        <w:t xml:space="preserve"> — domain-adapted embedding model trained on Nigerian legal text</w:t>
      </w:r>
    </w:p>
    <w:p>
      <w:pPr>
        <w:pStyle w:val="ListNumber"/>
      </w:pPr>
      <w:r>
        <w:rPr>
          <w:b/>
        </w:rPr>
        <w:t>Graph-based regulatory knowledge</w:t>
      </w:r>
      <w:r>
        <w:t xml:space="preserve"> — regulatory knowledge graph linking regulations, sections, entities</w:t>
      </w:r>
    </w:p>
    <w:p>
      <w:pPr>
        <w:pStyle w:val="ListNumber"/>
      </w:pPr>
      <w:r>
        <w:rPr>
          <w:b/>
        </w:rPr>
        <w:t>Audit trail API for third parties</w:t>
      </w:r>
      <w:r>
        <w:t xml:space="preserve"> — signed, exportable audit records for regulatory submission</w:t>
      </w:r>
    </w:p>
    <w:p>
      <w:pPr>
        <w:pStyle w:val="ListNumber"/>
      </w:pPr>
      <w:r>
        <w:rPr>
          <w:b/>
        </w:rPr>
        <w:t>Mobile app</w:t>
      </w:r>
      <w:r>
        <w:t xml:space="preserve"> — compliance officer mobile interface for on-the-go analysis</w:t>
      </w:r>
    </w:p>
    <w:p>
      <w:pPr>
        <w:pBdr>
          <w:bottom w:val="single" w:sz="4" w:space="1" w:color="CCCCCC"/>
        </w:pBdr>
      </w:pPr>
    </w:p>
    <w:p>
      <w:pPr>
        <w:pStyle w:val="Heading2"/>
      </w:pPr>
      <w:r>
        <w:t>17. Local Development Setup</w:t>
      </w:r>
    </w:p>
    <w:p>
      <w:pPr>
        <w:pStyle w:val="Heading3"/>
      </w:pPr>
      <w:r>
        <w:t>Prerequisites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E569A" w:val="clear"/>
          </w:tcPr>
          <w:p>
            <w:r>
              <w:rPr>
                <w:b/>
                <w:color w:val="FFFFFF"/>
                <w:sz w:val="19"/>
              </w:rPr>
              <w:t>Requirement</w:t>
            </w:r>
          </w:p>
        </w:tc>
        <w:tc>
          <w:tcPr>
            <w:tcW w:type="dxa" w:w="2351"/>
            <w:shd w:fill="1E569A" w:val="clear"/>
          </w:tcPr>
          <w:p>
            <w:r>
              <w:rPr>
                <w:b/>
                <w:color w:val="FFFFFF"/>
                <w:sz w:val="19"/>
              </w:rPr>
              <w:t>Version</w:t>
            </w:r>
          </w:p>
        </w:tc>
        <w:tc>
          <w:tcPr>
            <w:tcW w:type="dxa" w:w="2351"/>
            <w:shd w:fill="1E569A" w:val="clear"/>
          </w:tcPr>
          <w:p>
            <w:r>
              <w:rPr>
                <w:b/>
                <w:color w:val="FFFFFF"/>
                <w:sz w:val="19"/>
              </w:rPr>
              <w:t>Install</w:t>
            </w:r>
          </w:p>
        </w:tc>
        <w:tc>
          <w:tcPr>
            <w:tcW w:type="dxa" w:w="2351"/>
            <w:shd w:fill="1E569A" w:val="clear"/>
          </w:tcPr>
          <w:p>
            <w:r>
              <w:rPr>
                <w:b/>
                <w:color w:val="FFFFFF"/>
                <w:sz w:val="19"/>
              </w:rPr>
            </w:r>
          </w:p>
        </w:tc>
      </w:tr>
      <w:tr>
        <w:tc>
          <w:tcPr>
            <w:tcW w:type="dxa" w:w="2351"/>
          </w:tcPr>
          <w:p>
            <w:r>
              <w:rPr>
                <w:sz w:val="19"/>
              </w:rPr>
              <w:t>Python</w:t>
            </w:r>
          </w:p>
        </w:tc>
        <w:tc>
          <w:tcPr>
            <w:tcW w:type="dxa" w:w="2351"/>
          </w:tcPr>
          <w:p>
            <w:r>
              <w:rPr>
                <w:sz w:val="19"/>
              </w:rPr>
              <w:t>3.12+</w:t>
            </w:r>
          </w:p>
        </w:tc>
        <w:tc>
          <w:tcPr>
            <w:tcW w:type="dxa" w:w="2351"/>
          </w:tcPr>
          <w:p>
            <w:r>
              <w:rPr>
                <w:rFonts w:ascii="Courier New" w:hAnsi="Courier New"/>
                <w:color w:val="C7254E"/>
                <w:sz w:val="19"/>
              </w:rPr>
              <w:t>brew install python@3.12</w:t>
            </w:r>
          </w:p>
        </w:tc>
        <w:tc>
          <w:tcPr>
            <w:tcW w:type="dxa" w:w="2351"/>
          </w:tcPr>
          <w:p/>
        </w:tc>
      </w:tr>
      <w:tr>
        <w:tc>
          <w:tcPr>
            <w:tcW w:type="dxa" w:w="2351"/>
            <w:shd w:fill="EEF4FB" w:val="clear"/>
          </w:tcPr>
          <w:p>
            <w:r>
              <w:rPr>
                <w:sz w:val="19"/>
              </w:rPr>
              <w:t>uv</w:t>
            </w:r>
          </w:p>
        </w:tc>
        <w:tc>
          <w:tcPr>
            <w:tcW w:type="dxa" w:w="2351"/>
            <w:shd w:fill="EEF4FB" w:val="clear"/>
          </w:tcPr>
          <w:p>
            <w:r>
              <w:rPr>
                <w:sz w:val="19"/>
              </w:rPr>
              <w:t>Latest</w:t>
            </w:r>
          </w:p>
        </w:tc>
        <w:tc>
          <w:tcPr>
            <w:tcW w:type="dxa" w:w="2351"/>
            <w:shd w:fill="EEF4FB" w:val="clear"/>
          </w:tcPr>
          <w:p>
            <w:r>
              <w:rPr>
                <w:sz w:val="19"/>
              </w:rPr>
              <w:t>`curl -LsSf https://astral.sh/uv/install.sh \</w:t>
            </w:r>
          </w:p>
        </w:tc>
        <w:tc>
          <w:tcPr>
            <w:tcW w:type="dxa" w:w="2351"/>
            <w:shd w:fill="EEF4FB" w:val="clear"/>
          </w:tcPr>
          <w:p>
            <w:r>
              <w:rPr>
                <w:sz w:val="19"/>
              </w:rPr>
              <w:t>sh`</w:t>
            </w:r>
          </w:p>
        </w:tc>
      </w:tr>
      <w:tr>
        <w:tc>
          <w:tcPr>
            <w:tcW w:type="dxa" w:w="2351"/>
          </w:tcPr>
          <w:p>
            <w:r>
              <w:rPr>
                <w:sz w:val="19"/>
              </w:rPr>
              <w:t>Docker Desktop</w:t>
            </w:r>
          </w:p>
        </w:tc>
        <w:tc>
          <w:tcPr>
            <w:tcW w:type="dxa" w:w="2351"/>
          </w:tcPr>
          <w:p>
            <w:r>
              <w:rPr>
                <w:sz w:val="19"/>
              </w:rPr>
              <w:t>Latest</w:t>
            </w:r>
          </w:p>
        </w:tc>
        <w:tc>
          <w:tcPr>
            <w:tcW w:type="dxa" w:w="2351"/>
          </w:tcPr>
          <w:p>
            <w:r>
              <w:rPr>
                <w:sz w:val="19"/>
              </w:rPr>
              <w:t>[docker.com](https://docker.com)</w:t>
            </w:r>
          </w:p>
        </w:tc>
        <w:tc>
          <w:tcPr>
            <w:tcW w:type="dxa" w:w="2351"/>
          </w:tcPr>
          <w:p/>
        </w:tc>
      </w:tr>
      <w:tr>
        <w:tc>
          <w:tcPr>
            <w:tcW w:type="dxa" w:w="2351"/>
            <w:shd w:fill="EEF4FB" w:val="clear"/>
          </w:tcPr>
          <w:p>
            <w:r>
              <w:rPr>
                <w:sz w:val="19"/>
              </w:rPr>
              <w:t>Tesseract OCR</w:t>
            </w:r>
          </w:p>
        </w:tc>
        <w:tc>
          <w:tcPr>
            <w:tcW w:type="dxa" w:w="2351"/>
            <w:shd w:fill="EEF4FB" w:val="clear"/>
          </w:tcPr>
          <w:p>
            <w:r>
              <w:rPr>
                <w:sz w:val="19"/>
              </w:rPr>
              <w:t>Latest</w:t>
            </w:r>
          </w:p>
        </w:tc>
        <w:tc>
          <w:tcPr>
            <w:tcW w:type="dxa" w:w="2351"/>
            <w:shd w:fill="EEF4FB" w:val="clear"/>
          </w:tcPr>
          <w:p>
            <w:r>
              <w:rPr>
                <w:rFonts w:ascii="Courier New" w:hAnsi="Courier New"/>
                <w:color w:val="C7254E"/>
                <w:sz w:val="19"/>
              </w:rPr>
              <w:t>brew install tesseract</w:t>
            </w:r>
          </w:p>
        </w:tc>
        <w:tc>
          <w:tcPr>
            <w:tcW w:type="dxa" w:w="2351"/>
            <w:shd w:fill="EEF4FB" w:val="clear"/>
          </w:tcPr>
          <w:p/>
        </w:tc>
      </w:tr>
    </w:tbl>
    <w:p/>
    <w:p>
      <w:pPr>
        <w:pStyle w:val="Heading3"/>
      </w:pPr>
      <w:r>
        <w:t>1. Clone and Install</w:t>
      </w:r>
    </w:p>
    <w:p>
      <w:pPr>
        <w:spacing w:before="80" w:after="80"/>
        <w:ind w:left="432"/>
        <w:shd w:fill="F0F4F8" w:val="clear"/>
      </w:pPr>
      <w:r>
        <w:rPr>
          <w:rFonts w:ascii="Courier New" w:hAnsi="Courier New"/>
          <w:color w:val="1F1F1F"/>
          <w:sz w:val="17"/>
        </w:rPr>
        <w:t>git clone &lt;repo-url&gt;</w:t>
        <w:br/>
        <w:t>cd regulatory-intelligence-platform</w:t>
        <w:br/>
        <w:br/>
        <w:t># Create virtual environment and install all dependencies</w:t>
        <w:br/>
        <w:t>uv sync</w:t>
        <w:br/>
        <w:br/>
        <w:t># Activate virtual environment</w:t>
        <w:br/>
        <w:t>source .venv/bin/activate</w:t>
      </w:r>
    </w:p>
    <w:p>
      <w:pPr>
        <w:pStyle w:val="Heading3"/>
      </w:pPr>
      <w:r>
        <w:t>2. Configure Environment</w:t>
      </w:r>
    </w:p>
    <w:p>
      <w:pPr>
        <w:spacing w:after="120"/>
      </w:pPr>
      <w:r>
        <w:t xml:space="preserve">Create a </w:t>
      </w:r>
      <w:r>
        <w:rPr>
          <w:rFonts w:ascii="Courier New" w:hAnsi="Courier New"/>
          <w:color w:val="C7254E"/>
          <w:sz w:val="18"/>
        </w:rPr>
        <w:t>.env</w:t>
      </w:r>
      <w:r>
        <w:t xml:space="preserve"> file in the project root:</w:t>
      </w:r>
    </w:p>
    <w:p>
      <w:pPr>
        <w:spacing w:before="80" w:after="80"/>
        <w:ind w:left="432"/>
        <w:shd w:fill="F0F4F8" w:val="clear"/>
      </w:pPr>
      <w:r>
        <w:rPr>
          <w:rFonts w:ascii="Courier New" w:hAnsi="Courier New"/>
          <w:color w:val="1F1F1F"/>
          <w:sz w:val="17"/>
        </w:rPr>
        <w:t># PostgreSQL</w:t>
        <w:br/>
        <w:t>POSTGRES_USER=regplatform</w:t>
        <w:br/>
        <w:t>POSTGRES_PASSWORD=regpassword1111</w:t>
        <w:br/>
        <w:t>POSTGRES_DB=regulatory_db</w:t>
        <w:br/>
        <w:t>POSTGRES_HOST=localhost</w:t>
        <w:br/>
        <w:t>POSTGRES_PORT=5432</w:t>
        <w:br/>
        <w:br/>
        <w:t># Qdrant</w:t>
        <w:br/>
        <w:t>QDRANT_HOST=localhost</w:t>
        <w:br/>
        <w:t>QDRANT_PORT=6333</w:t>
        <w:br/>
        <w:br/>
        <w:t># Redis</w:t>
        <w:br/>
        <w:t>REDIS_HOST=localhost</w:t>
        <w:br/>
        <w:t>REDIS_PORT=6379</w:t>
        <w:br/>
        <w:br/>
        <w:t># LLM</w:t>
        <w:br/>
        <w:t>LLM_PROVIDER=openai</w:t>
        <w:br/>
        <w:t>OPENAI_API_KEY=sk-proj-&lt;your-key&gt;</w:t>
        <w:br/>
        <w:t>OPENAI_MODEL=gpt-4o-mini</w:t>
        <w:br/>
        <w:br/>
        <w:t># Embedding</w:t>
        <w:br/>
        <w:t>EMBEDDING_MODEL_NAME=BAAI/bge-base-en-v1.5</w:t>
        <w:br/>
        <w:t>EMBEDDING_DIMENSION=768</w:t>
      </w:r>
    </w:p>
    <w:p>
      <w:pPr>
        <w:pStyle w:val="Heading3"/>
      </w:pPr>
      <w:r>
        <w:t>3. Start Infrastructure</w:t>
      </w:r>
    </w:p>
    <w:p>
      <w:pPr>
        <w:spacing w:before="80" w:after="80"/>
        <w:ind w:left="432"/>
        <w:shd w:fill="F0F4F8" w:val="clear"/>
      </w:pPr>
      <w:r>
        <w:rPr>
          <w:rFonts w:ascii="Courier New" w:hAnsi="Courier New"/>
          <w:color w:val="1F1F1F"/>
          <w:sz w:val="17"/>
        </w:rPr>
        <w:t>docker compose up -d</w:t>
        <w:br/>
        <w:br/>
        <w:t># Verify all services are running</w:t>
        <w:br/>
        <w:t>docker compose ps</w:t>
        <w:br/>
        <w:br/>
        <w:t># Verify Qdrant</w:t>
        <w:br/>
        <w:t>curl http://localhost:6333/healthz</w:t>
        <w:br/>
        <w:br/>
        <w:t># Verify PostgreSQL</w:t>
        <w:br/>
        <w:t>docker exec -it postgres psql -U regplatform -d regulatory_db -c "\dt"</w:t>
      </w:r>
    </w:p>
    <w:p>
      <w:pPr>
        <w:pStyle w:val="Heading3"/>
      </w:pPr>
      <w:r>
        <w:t>4. Start the Application</w:t>
      </w:r>
    </w:p>
    <w:p>
      <w:pPr>
        <w:spacing w:before="80" w:after="80"/>
        <w:ind w:left="432"/>
        <w:shd w:fill="F0F4F8" w:val="clear"/>
      </w:pPr>
      <w:r>
        <w:rPr>
          <w:rFonts w:ascii="Courier New" w:hAnsi="Courier New"/>
          <w:color w:val="1F1F1F"/>
          <w:sz w:val="17"/>
        </w:rPr>
        <w:t>uvicorn app.main:app --reload</w:t>
      </w:r>
    </w:p>
    <w:p>
      <w:pPr>
        <w:spacing w:after="120"/>
      </w:pPr>
      <w:r>
        <w:t>On startup you should see:</w:t>
      </w:r>
    </w:p>
    <w:p>
      <w:pPr>
        <w:spacing w:before="80" w:after="80"/>
        <w:ind w:left="432"/>
        <w:shd w:fill="F0F4F8" w:val="clear"/>
      </w:pPr>
      <w:r>
        <w:rPr>
          <w:rFonts w:ascii="Courier New" w:hAnsi="Courier New"/>
          <w:color w:val="1F1F1F"/>
          <w:sz w:val="17"/>
        </w:rPr>
        <w:t>Starting up Regulatory Intelligence Platform...</w:t>
        <w:br/>
        <w:t>PostgreSQL tables ready</w:t>
        <w:br/>
        <w:t>Qdrant collection ready</w:t>
      </w:r>
    </w:p>
    <w:p>
      <w:pPr>
        <w:pStyle w:val="Heading3"/>
      </w:pPr>
      <w:r>
        <w:t>5. Ingest a Regulation Document</w:t>
      </w:r>
    </w:p>
    <w:p>
      <w:pPr>
        <w:spacing w:before="80" w:after="80"/>
        <w:ind w:left="432"/>
        <w:shd w:fill="F0F4F8" w:val="clear"/>
      </w:pPr>
      <w:r>
        <w:rPr>
          <w:rFonts w:ascii="Courier New" w:hAnsi="Courier New"/>
          <w:color w:val="1F1F1F"/>
          <w:sz w:val="17"/>
        </w:rPr>
        <w:t>curl -X POST http://localhost:8000/regulations/upload \</w:t>
        <w:br/>
        <w:t xml:space="preserve">  -F "file=@/path/to/CBN_Consumer_Protection.pdf" \</w:t>
        <w:br/>
        <w:t xml:space="preserve">  -F "regulator=CBN" \</w:t>
        <w:br/>
        <w:t xml:space="preserve">  -F "document_type=Regulation" \</w:t>
        <w:br/>
        <w:t xml:space="preserve">  -F "issued_date=2019-12-20"</w:t>
      </w:r>
    </w:p>
    <w:p>
      <w:pPr>
        <w:pStyle w:val="Heading3"/>
      </w:pPr>
      <w:r>
        <w:t>6. Test the Analysis Endpoint</w:t>
      </w:r>
    </w:p>
    <w:p>
      <w:pPr>
        <w:spacing w:before="80" w:after="80"/>
        <w:ind w:left="432"/>
        <w:shd w:fill="F0F4F8" w:val="clear"/>
      </w:pPr>
      <w:r>
        <w:rPr>
          <w:rFonts w:ascii="Courier New" w:hAnsi="Courier New"/>
          <w:color w:val="1F1F1F"/>
          <w:sz w:val="17"/>
        </w:rPr>
        <w:t>curl -s -X POST http://localhost:8000/analysis/analyze-business \</w:t>
        <w:br/>
        <w:t xml:space="preserve">  -H "Content-Type: application/json" \</w:t>
        <w:br/>
        <w:t xml:space="preserve">  -d '{</w:t>
        <w:br/>
        <w:t xml:space="preserve">    "query": "What complaint resolution timelines apply to a digital bank?",</w:t>
        <w:br/>
        <w:t xml:space="preserve">    "organization_context": "Digital bank with retail customers"</w:t>
        <w:br/>
        <w:t xml:space="preserve">  }' | python3 -m json.tool</w:t>
      </w:r>
    </w:p>
    <w:p>
      <w:pPr>
        <w:pStyle w:val="Heading3"/>
      </w:pPr>
      <w:r>
        <w:t>7. Access PostgreSQL Audit Records</w:t>
      </w:r>
    </w:p>
    <w:p>
      <w:pPr>
        <w:spacing w:before="80" w:after="80"/>
        <w:ind w:left="432"/>
        <w:shd w:fill="F0F4F8" w:val="clear"/>
      </w:pPr>
      <w:r>
        <w:rPr>
          <w:rFonts w:ascii="Courier New" w:hAnsi="Courier New"/>
          <w:color w:val="1F1F1F"/>
          <w:sz w:val="17"/>
        </w:rPr>
        <w:t># Connect to database</w:t>
        <w:br/>
        <w:t>docker exec -it postgres psql -U regplatform -d regulatory_db</w:t>
        <w:br/>
        <w:br/>
        <w:t># Useful queries</w:t>
        <w:br/>
        <w:t>SELECT id, session_id, overall_risk_level, grounding_score, duration_ms, created_at</w:t>
        <w:br/>
        <w:t>FROM audit_records</w:t>
        <w:br/>
        <w:t>ORDER BY created_at DESC</w:t>
        <w:br/>
        <w:t>LIMIT 10;</w:t>
        <w:br/>
        <w:br/>
        <w:t>SELECT * FROM documents;</w:t>
        <w:br/>
        <w:br/>
        <w:t>\q</w:t>
      </w:r>
    </w:p>
    <w:p>
      <w:pPr>
        <w:pStyle w:val="Heading3"/>
      </w:pPr>
      <w:r>
        <w:t>8. Developer Workflow</w:t>
      </w:r>
    </w:p>
    <w:p>
      <w:pPr>
        <w:spacing w:before="80" w:after="80"/>
        <w:ind w:left="432"/>
        <w:shd w:fill="F0F4F8" w:val="clear"/>
      </w:pPr>
      <w:r>
        <w:rPr>
          <w:rFonts w:ascii="Courier New" w:hAnsi="Courier New"/>
          <w:color w:val="1F1F1F"/>
          <w:sz w:val="17"/>
        </w:rPr>
        <w:t># Check Qdrant indexed chunks</w:t>
        <w:br/>
        <w:t>curl -X POST http://localhost:6333/collections/regulations/points/scroll \</w:t>
        <w:br/>
        <w:t xml:space="preserve">  -H "Content-Type: application/json" \</w:t>
        <w:br/>
        <w:t xml:space="preserve">  -d '{"limit": 10, "with_payload": true, "with_vector": false}'</w:t>
        <w:br/>
        <w:br/>
        <w:t># Tail application logs while running a test</w:t>
        <w:br/>
        <w:t># (run uvicorn in foreground, then curl in another terminal)</w:t>
        <w:br/>
        <w:br/>
        <w:t># Reset Qdrant collection (drops all indexed data — re-ingest required)</w:t>
        <w:br/>
        <w:t># python scripts/reset_collection.py</w:t>
        <w:br/>
        <w:br/>
        <w:t># Install a new dependency</w:t>
        <w:br/>
        <w:t>uv add &lt;package-name&gt;</w:t>
      </w:r>
    </w:p>
    <w:p>
      <w:pPr>
        <w:pStyle w:val="Heading3"/>
      </w:pPr>
      <w:r>
        <w:t>9. Switching to Local LLM (Ollama)</w:t>
      </w:r>
    </w:p>
    <w:p>
      <w:pPr>
        <w:spacing w:before="80" w:after="80"/>
        <w:ind w:left="432"/>
        <w:shd w:fill="F0F4F8" w:val="clear"/>
      </w:pPr>
      <w:r>
        <w:rPr>
          <w:rFonts w:ascii="Courier New" w:hAnsi="Courier New"/>
          <w:color w:val="1F1F1F"/>
          <w:sz w:val="17"/>
        </w:rPr>
        <w:t># Install Ollama: https://ollama.com</w:t>
        <w:br/>
        <w:t># Pull models</w:t>
        <w:br/>
        <w:t>ollama pull qwen2.5:14b</w:t>
        <w:br/>
        <w:t>ollama pull qwen2.5:7b</w:t>
        <w:br/>
        <w:br/>
        <w:t># Update .env</w:t>
        <w:br/>
        <w:t>LLM_PROVIDER=ollama</w:t>
        <w:br/>
        <w:t>LLM_BASE_URL=http://localhost:11434</w:t>
        <w:br/>
        <w:t>LLM_MODEL_NAME=qwen2.5:14b</w:t>
        <w:br/>
        <w:t>LLM_SMALL_MODEL_NAME=qwen2.5:7b</w:t>
      </w:r>
    </w:p>
    <w:p>
      <w:pPr>
        <w:pStyle w:val="Heading3"/>
      </w:pPr>
      <w:r>
        <w:t>Common Issues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E569A" w:val="clear"/>
          </w:tcPr>
          <w:p>
            <w:r>
              <w:rPr>
                <w:b/>
                <w:color w:val="FFFFFF"/>
                <w:sz w:val="19"/>
              </w:rPr>
              <w:t>Issue</w:t>
            </w:r>
          </w:p>
        </w:tc>
        <w:tc>
          <w:tcPr>
            <w:tcW w:type="dxa" w:w="3135"/>
            <w:shd w:fill="1E569A" w:val="clear"/>
          </w:tcPr>
          <w:p>
            <w:r>
              <w:rPr>
                <w:b/>
                <w:color w:val="FFFFFF"/>
                <w:sz w:val="19"/>
              </w:rPr>
              <w:t>Cause</w:t>
            </w:r>
          </w:p>
        </w:tc>
        <w:tc>
          <w:tcPr>
            <w:tcW w:type="dxa" w:w="3135"/>
            <w:shd w:fill="1E569A" w:val="clear"/>
          </w:tcPr>
          <w:p>
            <w:r>
              <w:rPr>
                <w:b/>
                <w:color w:val="FFFFFF"/>
                <w:sz w:val="19"/>
              </w:rPr>
              <w:t>Fix</w:t>
            </w:r>
          </w:p>
        </w:tc>
      </w:tr>
      <w:tr>
        <w:tc>
          <w:tcPr>
            <w:tcW w:type="dxa" w:w="3135"/>
          </w:tcPr>
          <w:p>
            <w:r>
              <w:rPr>
                <w:sz w:val="19"/>
              </w:rPr>
              <w:t>First request takes 4+ minutes</w:t>
            </w:r>
          </w:p>
        </w:tc>
        <w:tc>
          <w:tcPr>
            <w:tcW w:type="dxa" w:w="3135"/>
          </w:tcPr>
          <w:p>
            <w:r>
              <w:rPr>
                <w:sz w:val="19"/>
              </w:rPr>
              <w:t>Reranker model downloading (2.27GB)</w:t>
            </w:r>
          </w:p>
        </w:tc>
        <w:tc>
          <w:tcPr>
            <w:tcW w:type="dxa" w:w="3135"/>
          </w:tcPr>
          <w:p>
            <w:r>
              <w:rPr>
                <w:sz w:val="19"/>
              </w:rPr>
              <w:t>Wait; subsequent requests are fast (model cached)</w:t>
            </w:r>
          </w:p>
        </w:tc>
      </w:tr>
      <w:tr>
        <w:tc>
          <w:tcPr>
            <w:tcW w:type="dxa" w:w="3135"/>
            <w:shd w:fill="EEF4FB" w:val="clear"/>
          </w:tcPr>
          <w:p>
            <w:r>
              <w:rPr>
                <w:rFonts w:ascii="Courier New" w:hAnsi="Courier New"/>
                <w:color w:val="C7254E"/>
                <w:sz w:val="19"/>
              </w:rPr>
              <w:t>No text extracted from PDF</w:t>
            </w:r>
          </w:p>
        </w:tc>
        <w:tc>
          <w:tcPr>
            <w:tcW w:type="dxa" w:w="3135"/>
            <w:shd w:fill="EEF4FB" w:val="clear"/>
          </w:tcPr>
          <w:p>
            <w:r>
              <w:rPr>
                <w:sz w:val="19"/>
              </w:rPr>
              <w:t>Scanned image PDF</w:t>
            </w:r>
          </w:p>
        </w:tc>
        <w:tc>
          <w:tcPr>
            <w:tcW w:type="dxa" w:w="3135"/>
            <w:shd w:fill="EEF4FB" w:val="clear"/>
          </w:tcPr>
          <w:p>
            <w:r>
              <w:rPr>
                <w:sz w:val="19"/>
              </w:rPr>
              <w:t xml:space="preserve">Ensure Tesseract is installed: </w:t>
            </w:r>
            <w:r>
              <w:rPr>
                <w:rFonts w:ascii="Courier New" w:hAnsi="Courier New"/>
                <w:color w:val="C7254E"/>
                <w:sz w:val="19"/>
              </w:rPr>
              <w:t>brew install tesseract</w:t>
            </w:r>
          </w:p>
        </w:tc>
      </w:tr>
      <w:tr>
        <w:tc>
          <w:tcPr>
            <w:tcW w:type="dxa" w:w="3135"/>
          </w:tcPr>
          <w:p>
            <w:r>
              <w:rPr>
                <w:rFonts w:ascii="Courier New" w:hAnsi="Courier New"/>
                <w:color w:val="C7254E"/>
                <w:sz w:val="19"/>
              </w:rPr>
              <w:t>409 Conflict</w:t>
            </w:r>
            <w:r>
              <w:rPr>
                <w:sz w:val="19"/>
              </w:rPr>
              <w:t xml:space="preserve"> on upload</w:t>
            </w:r>
          </w:p>
        </w:tc>
        <w:tc>
          <w:tcPr>
            <w:tcW w:type="dxa" w:w="3135"/>
          </w:tcPr>
          <w:p>
            <w:r>
              <w:rPr>
                <w:sz w:val="19"/>
              </w:rPr>
              <w:t>Same PDF already ingested</w:t>
            </w:r>
          </w:p>
        </w:tc>
        <w:tc>
          <w:tcPr>
            <w:tcW w:type="dxa" w:w="3135"/>
          </w:tcPr>
          <w:p>
            <w:r>
              <w:rPr>
                <w:sz w:val="19"/>
              </w:rPr>
              <w:t>Document already in system; this is by design</w:t>
            </w:r>
          </w:p>
        </w:tc>
      </w:tr>
      <w:tr>
        <w:tc>
          <w:tcPr>
            <w:tcW w:type="dxa" w:w="3135"/>
            <w:shd w:fill="EEF4FB" w:val="clear"/>
          </w:tcPr>
          <w:p>
            <w:r>
              <w:rPr>
                <w:rFonts w:ascii="Courier New" w:hAnsi="Courier New"/>
                <w:color w:val="C7254E"/>
                <w:sz w:val="19"/>
              </w:rPr>
              <w:t>Connection refused :6333</w:t>
            </w:r>
          </w:p>
        </w:tc>
        <w:tc>
          <w:tcPr>
            <w:tcW w:type="dxa" w:w="3135"/>
            <w:shd w:fill="EEF4FB" w:val="clear"/>
          </w:tcPr>
          <w:p>
            <w:r>
              <w:rPr>
                <w:sz w:val="19"/>
              </w:rPr>
              <w:t>Qdrant not running</w:t>
            </w:r>
          </w:p>
        </w:tc>
        <w:tc>
          <w:tcPr>
            <w:tcW w:type="dxa" w:w="3135"/>
            <w:shd w:fill="EEF4FB" w:val="clear"/>
          </w:tcPr>
          <w:p>
            <w:r>
              <w:rPr>
                <w:rFonts w:ascii="Courier New" w:hAnsi="Courier New"/>
                <w:color w:val="C7254E"/>
                <w:sz w:val="19"/>
              </w:rPr>
              <w:t>docker compose up -d qdrant</w:t>
            </w:r>
          </w:p>
        </w:tc>
      </w:tr>
      <w:tr>
        <w:tc>
          <w:tcPr>
            <w:tcW w:type="dxa" w:w="3135"/>
          </w:tcPr>
          <w:p>
            <w:r>
              <w:rPr>
                <w:rFonts w:ascii="Courier New" w:hAnsi="Courier New"/>
                <w:color w:val="C7254E"/>
                <w:sz w:val="19"/>
              </w:rPr>
              <w:t>422 Unprocessable Entity</w:t>
            </w:r>
          </w:p>
        </w:tc>
        <w:tc>
          <w:tcPr>
            <w:tcW w:type="dxa" w:w="3135"/>
          </w:tcPr>
          <w:p>
            <w:r>
              <w:rPr>
                <w:sz w:val="19"/>
              </w:rPr>
              <w:t>Wrong request body</w:t>
            </w:r>
          </w:p>
        </w:tc>
        <w:tc>
          <w:tcPr>
            <w:tcW w:type="dxa" w:w="3135"/>
          </w:tcPr>
          <w:p>
            <w:r>
              <w:rPr>
                <w:sz w:val="19"/>
              </w:rPr>
              <w:t xml:space="preserve">Check required fields with </w:t>
            </w:r>
            <w:r>
              <w:rPr>
                <w:rFonts w:ascii="Courier New" w:hAnsi="Courier New"/>
                <w:color w:val="C7254E"/>
                <w:sz w:val="19"/>
              </w:rPr>
              <w:t>curl http://localhost:8000/docs</w:t>
            </w:r>
          </w:p>
        </w:tc>
      </w:tr>
    </w:tbl>
    <w:p/>
    <w:p>
      <w:pPr>
        <w:pBdr>
          <w:bottom w:val="single" w:sz="4" w:space="1" w:color="CCCCCC"/>
        </w:pBdr>
      </w:pPr>
    </w:p>
    <w:p>
      <w:pPr>
        <w:pStyle w:val="Heading2"/>
      </w:pPr>
      <w:r>
        <w:t>18. Glossary</w:t>
      </w:r>
    </w:p>
    <w:p>
      <w:pPr>
        <w:pStyle w:val="Heading3"/>
      </w:pPr>
      <w:r>
        <w:t>Technical Terms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Term</w:t>
            </w:r>
          </w:p>
        </w:tc>
        <w:tc>
          <w:tcPr>
            <w:tcW w:type="dxa" w:w="4703"/>
            <w:shd w:fill="1E569A" w:val="clear"/>
          </w:tcPr>
          <w:p>
            <w:r>
              <w:rPr>
                <w:b/>
                <w:color w:val="FFFFFF"/>
                <w:sz w:val="19"/>
              </w:rPr>
              <w:t>Definition</w:t>
            </w:r>
          </w:p>
        </w:tc>
      </w:tr>
      <w:tr>
        <w:tc>
          <w:tcPr>
            <w:tcW w:type="dxa" w:w="4703"/>
          </w:tcPr>
          <w:p>
            <w:r>
              <w:rPr>
                <w:b/>
                <w:sz w:val="19"/>
              </w:rPr>
              <w:t>Agent</w:t>
            </w:r>
          </w:p>
        </w:tc>
        <w:tc>
          <w:tcPr>
            <w:tcW w:type="dxa" w:w="4703"/>
          </w:tcPr>
          <w:p>
            <w:r>
              <w:rPr>
                <w:sz w:val="19"/>
              </w:rPr>
              <w:t>An LLM-powered module with a specific role in the workflow (e.g., "Auditor Agent"). Each agent receives structured input, calls an LLM, and returns structured output.</w:t>
            </w:r>
          </w:p>
        </w:tc>
      </w:tr>
      <w:tr>
        <w:tc>
          <w:tcPr>
            <w:tcW w:type="dxa" w:w="4703"/>
            <w:shd w:fill="EEF4FB" w:val="clear"/>
          </w:tcPr>
          <w:p>
            <w:r>
              <w:rPr>
                <w:b/>
                <w:sz w:val="19"/>
              </w:rPr>
              <w:t>AgentState</w:t>
            </w:r>
          </w:p>
        </w:tc>
        <w:tc>
          <w:tcPr>
            <w:tcW w:type="dxa" w:w="4703"/>
            <w:shd w:fill="EEF4FB" w:val="clear"/>
          </w:tcPr>
          <w:p>
            <w:r>
              <w:rPr>
                <w:sz w:val="19"/>
              </w:rPr>
              <w:t xml:space="preserve">A Python </w:t>
            </w:r>
            <w:r>
              <w:rPr>
                <w:rFonts w:ascii="Courier New" w:hAnsi="Courier New"/>
                <w:color w:val="C7254E"/>
                <w:sz w:val="19"/>
              </w:rPr>
              <w:t>TypedDict</w:t>
            </w:r>
            <w:r>
              <w:rPr>
                <w:sz w:val="19"/>
              </w:rPr>
              <w:t xml:space="preserve"> that holds all data shared across agents in the LangGraph workflow. Each node reads from and writes to this shared state.</w:t>
            </w:r>
          </w:p>
        </w:tc>
      </w:tr>
      <w:tr>
        <w:tc>
          <w:tcPr>
            <w:tcW w:type="dxa" w:w="4703"/>
          </w:tcPr>
          <w:p>
            <w:r>
              <w:rPr>
                <w:b/>
                <w:sz w:val="19"/>
              </w:rPr>
              <w:t>Async</w:t>
            </w:r>
          </w:p>
        </w:tc>
        <w:tc>
          <w:tcPr>
            <w:tcW w:type="dxa" w:w="4703"/>
          </w:tcPr>
          <w:p>
            <w:r>
              <w:rPr>
                <w:sz w:val="19"/>
              </w:rPr>
              <w:t>A Python programming pattern (</w:t>
            </w:r>
            <w:r>
              <w:rPr>
                <w:rFonts w:ascii="Courier New" w:hAnsi="Courier New"/>
                <w:color w:val="C7254E"/>
                <w:sz w:val="19"/>
              </w:rPr>
              <w:t>async def</w:t>
            </w:r>
            <w:r>
              <w:rPr>
                <w:sz w:val="19"/>
              </w:rPr>
              <w:t xml:space="preserve">, </w:t>
            </w:r>
            <w:r>
              <w:rPr>
                <w:rFonts w:ascii="Courier New" w:hAnsi="Courier New"/>
                <w:color w:val="C7254E"/>
                <w:sz w:val="19"/>
              </w:rPr>
              <w:t>await</w:t>
            </w:r>
            <w:r>
              <w:rPr>
                <w:sz w:val="19"/>
              </w:rPr>
              <w:t>) that allows multiple operations (DB calls, LLM calls) to run concurrently without blocking, using Python's event loop.</w:t>
            </w:r>
          </w:p>
        </w:tc>
      </w:tr>
      <w:tr>
        <w:tc>
          <w:tcPr>
            <w:tcW w:type="dxa" w:w="4703"/>
            <w:shd w:fill="EEF4FB" w:val="clear"/>
          </w:tcPr>
          <w:p>
            <w:r>
              <w:rPr>
                <w:b/>
                <w:sz w:val="19"/>
              </w:rPr>
              <w:t>BM25</w:t>
            </w:r>
          </w:p>
        </w:tc>
        <w:tc>
          <w:tcPr>
            <w:tcW w:type="dxa" w:w="4703"/>
            <w:shd w:fill="EEF4FB" w:val="clear"/>
          </w:tcPr>
          <w:p>
            <w:r>
              <w:rPr>
                <w:sz w:val="19"/>
              </w:rPr>
              <w:t>"Best Match 25" — a classic information retrieval scoring formula that scores documents based on term frequency and inverse document frequency. Used for keyword-based search.</w:t>
            </w:r>
          </w:p>
        </w:tc>
      </w:tr>
      <w:tr>
        <w:tc>
          <w:tcPr>
            <w:tcW w:type="dxa" w:w="4703"/>
          </w:tcPr>
          <w:p>
            <w:r>
              <w:rPr>
                <w:b/>
                <w:sz w:val="19"/>
              </w:rPr>
              <w:t>Cross-encoder</w:t>
            </w:r>
          </w:p>
        </w:tc>
        <w:tc>
          <w:tcPr>
            <w:tcW w:type="dxa" w:w="4703"/>
          </w:tcPr>
          <w:p>
            <w:r>
              <w:rPr>
                <w:sz w:val="19"/>
              </w:rPr>
              <w:t>A neural network that takes a query and a document as joint input and scores their relevance. More accurate than bi-encoders but slower (can't pre-compute document scores).</w:t>
            </w:r>
          </w:p>
        </w:tc>
      </w:tr>
      <w:tr>
        <w:tc>
          <w:tcPr>
            <w:tcW w:type="dxa" w:w="4703"/>
            <w:shd w:fill="EEF4FB" w:val="clear"/>
          </w:tcPr>
          <w:p>
            <w:r>
              <w:rPr>
                <w:b/>
                <w:sz w:val="19"/>
              </w:rPr>
              <w:t>Dense vector</w:t>
            </w:r>
          </w:p>
        </w:tc>
        <w:tc>
          <w:tcPr>
            <w:tcW w:type="dxa" w:w="4703"/>
            <w:shd w:fill="EEF4FB" w:val="clear"/>
          </w:tcPr>
          <w:p>
            <w:r>
              <w:rPr>
                <w:sz w:val="19"/>
              </w:rPr>
              <w:t>A fixed-length array of floating point numbers representing semantic meaning of text. Two semantically similar texts produce similar dense vectors.</w:t>
            </w:r>
          </w:p>
        </w:tc>
      </w:tr>
      <w:tr>
        <w:tc>
          <w:tcPr>
            <w:tcW w:type="dxa" w:w="4703"/>
          </w:tcPr>
          <w:p>
            <w:r>
              <w:rPr>
                <w:b/>
                <w:sz w:val="19"/>
              </w:rPr>
              <w:t>Dependency injection</w:t>
            </w:r>
          </w:p>
        </w:tc>
        <w:tc>
          <w:tcPr>
            <w:tcW w:type="dxa" w:w="4703"/>
          </w:tcPr>
          <w:p>
            <w:r>
              <w:rPr>
                <w:sz w:val="19"/>
              </w:rPr>
              <w:t xml:space="preserve">A design pattern where dependencies (e.g., database sessions) are injected into functions/classes from outside rather than created internally. FastAPI's </w:t>
            </w:r>
            <w:r>
              <w:rPr>
                <w:rFonts w:ascii="Courier New" w:hAnsi="Courier New"/>
                <w:color w:val="C7254E"/>
                <w:sz w:val="19"/>
              </w:rPr>
              <w:t>Depends()</w:t>
            </w:r>
            <w:r>
              <w:rPr>
                <w:sz w:val="19"/>
              </w:rPr>
              <w:t xml:space="preserve"> implements this.</w:t>
            </w:r>
          </w:p>
        </w:tc>
      </w:tr>
      <w:tr>
        <w:tc>
          <w:tcPr>
            <w:tcW w:type="dxa" w:w="4703"/>
            <w:shd w:fill="EEF4FB" w:val="clear"/>
          </w:tcPr>
          <w:p>
            <w:r>
              <w:rPr>
                <w:b/>
                <w:sz w:val="19"/>
              </w:rPr>
              <w:t>Embedding</w:t>
            </w:r>
          </w:p>
        </w:tc>
        <w:tc>
          <w:tcPr>
            <w:tcW w:type="dxa" w:w="4703"/>
            <w:shd w:fill="EEF4FB" w:val="clear"/>
          </w:tcPr>
          <w:p>
            <w:r>
              <w:rPr>
                <w:sz w:val="19"/>
              </w:rPr>
              <w:t>The process of converting text into a numeric vector representation. Used to enable semantic search.</w:t>
            </w:r>
          </w:p>
        </w:tc>
      </w:tr>
      <w:tr>
        <w:tc>
          <w:tcPr>
            <w:tcW w:type="dxa" w:w="4703"/>
          </w:tcPr>
          <w:p>
            <w:r>
              <w:rPr>
                <w:b/>
                <w:sz w:val="19"/>
              </w:rPr>
              <w:t>Hallucination</w:t>
            </w:r>
          </w:p>
        </w:tc>
        <w:tc>
          <w:tcPr>
            <w:tcW w:type="dxa" w:w="4703"/>
          </w:tcPr>
          <w:p>
            <w:r>
              <w:rPr>
                <w:sz w:val="19"/>
              </w:rPr>
              <w:t>When an LLM generates plausible-sounding but factually incorrect information, in this case fabricating regulatory citations that do not exist.</w:t>
            </w:r>
          </w:p>
        </w:tc>
      </w:tr>
      <w:tr>
        <w:tc>
          <w:tcPr>
            <w:tcW w:type="dxa" w:w="4703"/>
            <w:shd w:fill="EEF4FB" w:val="clear"/>
          </w:tcPr>
          <w:p>
            <w:r>
              <w:rPr>
                <w:b/>
                <w:sz w:val="19"/>
              </w:rPr>
              <w:t>Hybrid search</w:t>
            </w:r>
          </w:p>
        </w:tc>
        <w:tc>
          <w:tcPr>
            <w:tcW w:type="dxa" w:w="4703"/>
            <w:shd w:fill="EEF4FB" w:val="clear"/>
          </w:tcPr>
          <w:p>
            <w:r>
              <w:rPr>
                <w:sz w:val="19"/>
              </w:rPr>
              <w:t>A retrieval technique combining dense (semantic) and sparse (keyword) search results, typically via Reciprocal Rank Fusion.</w:t>
            </w:r>
          </w:p>
        </w:tc>
      </w:tr>
      <w:tr>
        <w:tc>
          <w:tcPr>
            <w:tcW w:type="dxa" w:w="4703"/>
          </w:tcPr>
          <w:p>
            <w:r>
              <w:rPr>
                <w:b/>
                <w:sz w:val="19"/>
              </w:rPr>
              <w:t>LangGraph</w:t>
            </w:r>
          </w:p>
        </w:tc>
        <w:tc>
          <w:tcPr>
            <w:tcW w:type="dxa" w:w="4703"/>
          </w:tcPr>
          <w:p>
            <w:r>
              <w:rPr>
                <w:sz w:val="19"/>
              </w:rPr>
              <w:t>A library built on top of LangChain for creating stateful, directed-graph-based multi-agent AI workflows.</w:t>
            </w:r>
          </w:p>
        </w:tc>
      </w:tr>
      <w:tr>
        <w:tc>
          <w:tcPr>
            <w:tcW w:type="dxa" w:w="4703"/>
            <w:shd w:fill="EEF4FB" w:val="clear"/>
          </w:tcPr>
          <w:p>
            <w:r>
              <w:rPr>
                <w:b/>
                <w:sz w:val="19"/>
              </w:rPr>
              <w:t>Lifespan</w:t>
            </w:r>
          </w:p>
        </w:tc>
        <w:tc>
          <w:tcPr>
            <w:tcW w:type="dxa" w:w="4703"/>
            <w:shd w:fill="EEF4FB" w:val="clear"/>
          </w:tcPr>
          <w:p>
            <w:r>
              <w:rPr>
                <w:sz w:val="19"/>
              </w:rPr>
              <w:t>A FastAPI feature (</w:t>
            </w:r>
            <w:r>
              <w:rPr>
                <w:rFonts w:ascii="Courier New" w:hAnsi="Courier New"/>
                <w:color w:val="C7254E"/>
                <w:sz w:val="19"/>
              </w:rPr>
              <w:t>asynccontextmanager</w:t>
            </w:r>
            <w:r>
              <w:rPr>
                <w:sz w:val="19"/>
              </w:rPr>
              <w:t>) for running code on application startup and shutdown.</w:t>
            </w:r>
          </w:p>
        </w:tc>
      </w:tr>
      <w:tr>
        <w:tc>
          <w:tcPr>
            <w:tcW w:type="dxa" w:w="4703"/>
          </w:tcPr>
          <w:p>
            <w:r>
              <w:rPr>
                <w:b/>
                <w:sz w:val="19"/>
              </w:rPr>
              <w:t>MMR</w:t>
            </w:r>
          </w:p>
        </w:tc>
        <w:tc>
          <w:tcPr>
            <w:tcW w:type="dxa" w:w="4703"/>
          </w:tcPr>
          <w:p>
            <w:r>
              <w:rPr>
                <w:sz w:val="19"/>
              </w:rPr>
              <w:t>Maximal Marginal Relevance — an algorithm for selecting diverse results by penalizing candidates that are too similar to already-selected results.</w:t>
            </w:r>
          </w:p>
        </w:tc>
      </w:tr>
      <w:tr>
        <w:tc>
          <w:tcPr>
            <w:tcW w:type="dxa" w:w="4703"/>
            <w:shd w:fill="EEF4FB" w:val="clear"/>
          </w:tcPr>
          <w:p>
            <w:r>
              <w:rPr>
                <w:b/>
                <w:sz w:val="19"/>
              </w:rPr>
              <w:t>Pydantic</w:t>
            </w:r>
          </w:p>
        </w:tc>
        <w:tc>
          <w:tcPr>
            <w:tcW w:type="dxa" w:w="4703"/>
            <w:shd w:fill="EEF4FB" w:val="clear"/>
          </w:tcPr>
          <w:p>
            <w:r>
              <w:rPr>
                <w:sz w:val="19"/>
              </w:rPr>
              <w:t>A Python library for data validation using type annotations. Used for request/response models and configuration settings.</w:t>
            </w:r>
          </w:p>
        </w:tc>
      </w:tr>
      <w:tr>
        <w:tc>
          <w:tcPr>
            <w:tcW w:type="dxa" w:w="4703"/>
          </w:tcPr>
          <w:p>
            <w:r>
              <w:rPr>
                <w:b/>
                <w:sz w:val="19"/>
              </w:rPr>
              <w:t>RAG</w:t>
            </w:r>
          </w:p>
        </w:tc>
        <w:tc>
          <w:tcPr>
            <w:tcW w:type="dxa" w:w="4703"/>
          </w:tcPr>
          <w:p>
            <w:r>
              <w:rPr>
                <w:sz w:val="19"/>
              </w:rPr>
              <w:t>Retrieval-Augmented Generation — an AI architecture that retrieves relevant context from a knowledge base before asking an LLM to generate an answer, grounding responses in real data.</w:t>
            </w:r>
          </w:p>
        </w:tc>
      </w:tr>
      <w:tr>
        <w:tc>
          <w:tcPr>
            <w:tcW w:type="dxa" w:w="4703"/>
            <w:shd w:fill="EEF4FB" w:val="clear"/>
          </w:tcPr>
          <w:p>
            <w:r>
              <w:rPr>
                <w:b/>
                <w:sz w:val="19"/>
              </w:rPr>
              <w:t>RRF</w:t>
            </w:r>
          </w:p>
        </w:tc>
        <w:tc>
          <w:tcPr>
            <w:tcW w:type="dxa" w:w="4703"/>
            <w:shd w:fill="EEF4FB" w:val="clear"/>
          </w:tcPr>
          <w:p>
            <w:r>
              <w:rPr>
                <w:sz w:val="19"/>
              </w:rPr>
              <w:t>Reciprocal Rank Fusion — a technique for combining ranked lists from multiple retrieval systems into a single merged ranking.</w:t>
            </w:r>
          </w:p>
        </w:tc>
      </w:tr>
      <w:tr>
        <w:tc>
          <w:tcPr>
            <w:tcW w:type="dxa" w:w="4703"/>
          </w:tcPr>
          <w:p>
            <w:r>
              <w:rPr>
                <w:b/>
                <w:sz w:val="19"/>
              </w:rPr>
              <w:t>Sparse vector</w:t>
            </w:r>
          </w:p>
        </w:tc>
        <w:tc>
          <w:tcPr>
            <w:tcW w:type="dxa" w:w="4703"/>
          </w:tcPr>
          <w:p>
            <w:r>
              <w:rPr>
                <w:sz w:val="19"/>
              </w:rPr>
              <w:t>A vector where most values are zero, with non-zero values at positions corresponding to specific vocabulary terms. BM25 produces sparse vectors.</w:t>
            </w:r>
          </w:p>
        </w:tc>
      </w:tr>
      <w:tr>
        <w:tc>
          <w:tcPr>
            <w:tcW w:type="dxa" w:w="4703"/>
            <w:shd w:fill="EEF4FB" w:val="clear"/>
          </w:tcPr>
          <w:p>
            <w:r>
              <w:rPr>
                <w:b/>
                <w:sz w:val="19"/>
              </w:rPr>
              <w:t>SQLAlchemy</w:t>
            </w:r>
          </w:p>
        </w:tc>
        <w:tc>
          <w:tcPr>
            <w:tcW w:type="dxa" w:w="4703"/>
            <w:shd w:fill="EEF4FB" w:val="clear"/>
          </w:tcPr>
          <w:p>
            <w:r>
              <w:rPr>
                <w:sz w:val="19"/>
              </w:rPr>
              <w:t>Python ORM (Object-Relational Mapper) for interacting with relational databases using Python objects instead of raw SQL.</w:t>
            </w:r>
          </w:p>
        </w:tc>
      </w:tr>
      <w:tr>
        <w:tc>
          <w:tcPr>
            <w:tcW w:type="dxa" w:w="4703"/>
          </w:tcPr>
          <w:p>
            <w:r>
              <w:rPr>
                <w:b/>
                <w:sz w:val="19"/>
              </w:rPr>
              <w:t>TypedDict</w:t>
            </w:r>
          </w:p>
        </w:tc>
        <w:tc>
          <w:tcPr>
            <w:tcW w:type="dxa" w:w="4703"/>
          </w:tcPr>
          <w:p>
            <w:r>
              <w:rPr>
                <w:sz w:val="19"/>
              </w:rPr>
              <w:t xml:space="preserve">A Python type hint construct for dictionaries with known, typed keys. Used for LangGraph's </w:t>
            </w:r>
            <w:r>
              <w:rPr>
                <w:rFonts w:ascii="Courier New" w:hAnsi="Courier New"/>
                <w:color w:val="C7254E"/>
                <w:sz w:val="19"/>
              </w:rPr>
              <w:t>AgentState</w:t>
            </w:r>
            <w:r>
              <w:rPr>
                <w:sz w:val="19"/>
              </w:rPr>
              <w:t>.</w:t>
            </w:r>
          </w:p>
        </w:tc>
      </w:tr>
      <w:tr>
        <w:tc>
          <w:tcPr>
            <w:tcW w:type="dxa" w:w="4703"/>
            <w:shd w:fill="EEF4FB" w:val="clear"/>
          </w:tcPr>
          <w:p>
            <w:r>
              <w:rPr>
                <w:b/>
                <w:sz w:val="19"/>
              </w:rPr>
              <w:t>uvicorn</w:t>
            </w:r>
          </w:p>
        </w:tc>
        <w:tc>
          <w:tcPr>
            <w:tcW w:type="dxa" w:w="4703"/>
            <w:shd w:fill="EEF4FB" w:val="clear"/>
          </w:tcPr>
          <w:p>
            <w:r>
              <w:rPr>
                <w:sz w:val="19"/>
              </w:rPr>
              <w:t>An ASGI (Asynchronous Server Gateway Interface) web server for Python. Runs the FastAPI application.</w:t>
            </w:r>
          </w:p>
        </w:tc>
      </w:tr>
      <w:tr>
        <w:tc>
          <w:tcPr>
            <w:tcW w:type="dxa" w:w="4703"/>
          </w:tcPr>
          <w:p>
            <w:r>
              <w:rPr>
                <w:b/>
                <w:sz w:val="19"/>
              </w:rPr>
              <w:t>uv</w:t>
            </w:r>
          </w:p>
        </w:tc>
        <w:tc>
          <w:tcPr>
            <w:tcW w:type="dxa" w:w="4703"/>
          </w:tcPr>
          <w:p>
            <w:r>
              <w:rPr>
                <w:sz w:val="19"/>
              </w:rPr>
              <w:t>A fast Python package manager and virtual environment tool (replacement for pip + venv).</w:t>
            </w:r>
          </w:p>
        </w:tc>
      </w:tr>
    </w:tbl>
    <w:p/>
    <w:p>
      <w:pPr>
        <w:pStyle w:val="Heading3"/>
      </w:pPr>
      <w:r>
        <w:t>Domain / Business Terms</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Term</w:t>
            </w:r>
          </w:p>
        </w:tc>
        <w:tc>
          <w:tcPr>
            <w:tcW w:type="dxa" w:w="4703"/>
            <w:shd w:fill="1E569A" w:val="clear"/>
          </w:tcPr>
          <w:p>
            <w:r>
              <w:rPr>
                <w:b/>
                <w:color w:val="FFFFFF"/>
                <w:sz w:val="19"/>
              </w:rPr>
              <w:t>Definition</w:t>
            </w:r>
          </w:p>
        </w:tc>
      </w:tr>
      <w:tr>
        <w:tc>
          <w:tcPr>
            <w:tcW w:type="dxa" w:w="4703"/>
          </w:tcPr>
          <w:p>
            <w:r>
              <w:rPr>
                <w:b/>
                <w:sz w:val="19"/>
              </w:rPr>
              <w:t>AML/CFT</w:t>
            </w:r>
          </w:p>
        </w:tc>
        <w:tc>
          <w:tcPr>
            <w:tcW w:type="dxa" w:w="4703"/>
          </w:tcPr>
          <w:p>
            <w:r>
              <w:rPr>
                <w:sz w:val="19"/>
              </w:rPr>
              <w:t>Anti-Money Laundering / Countering the Financing of Terrorism — regulatory obligations for financial institutions</w:t>
            </w:r>
          </w:p>
        </w:tc>
      </w:tr>
      <w:tr>
        <w:tc>
          <w:tcPr>
            <w:tcW w:type="dxa" w:w="4703"/>
            <w:shd w:fill="EEF4FB" w:val="clear"/>
          </w:tcPr>
          <w:p>
            <w:r>
              <w:rPr>
                <w:b/>
                <w:sz w:val="19"/>
              </w:rPr>
              <w:t>BOFIA</w:t>
            </w:r>
          </w:p>
        </w:tc>
        <w:tc>
          <w:tcPr>
            <w:tcW w:type="dxa" w:w="4703"/>
            <w:shd w:fill="EEF4FB" w:val="clear"/>
          </w:tcPr>
          <w:p>
            <w:r>
              <w:rPr>
                <w:sz w:val="19"/>
              </w:rPr>
              <w:t>Banks and Other Financial Institutions Act — primary legislation governing banks in Nigeria</w:t>
            </w:r>
          </w:p>
        </w:tc>
      </w:tr>
      <w:tr>
        <w:tc>
          <w:tcPr>
            <w:tcW w:type="dxa" w:w="4703"/>
          </w:tcPr>
          <w:p>
            <w:r>
              <w:rPr>
                <w:b/>
                <w:sz w:val="19"/>
              </w:rPr>
              <w:t>CBN</w:t>
            </w:r>
          </w:p>
        </w:tc>
        <w:tc>
          <w:tcPr>
            <w:tcW w:type="dxa" w:w="4703"/>
          </w:tcPr>
          <w:p>
            <w:r>
              <w:rPr>
                <w:sz w:val="19"/>
              </w:rPr>
              <w:t>Central Bank of Nigeria — primary regulator for banks, payment service providers, and financial institutions</w:t>
            </w:r>
          </w:p>
        </w:tc>
      </w:tr>
      <w:tr>
        <w:tc>
          <w:tcPr>
            <w:tcW w:type="dxa" w:w="4703"/>
            <w:shd w:fill="EEF4FB" w:val="clear"/>
          </w:tcPr>
          <w:p>
            <w:r>
              <w:rPr>
                <w:b/>
                <w:sz w:val="19"/>
              </w:rPr>
              <w:t>CAMA</w:t>
            </w:r>
          </w:p>
        </w:tc>
        <w:tc>
          <w:tcPr>
            <w:tcW w:type="dxa" w:w="4703"/>
            <w:shd w:fill="EEF4FB" w:val="clear"/>
          </w:tcPr>
          <w:p>
            <w:r>
              <w:rPr>
                <w:sz w:val="19"/>
              </w:rPr>
              <w:t>Companies and Allied Matters Act — governs corporate entities in Nigeria</w:t>
            </w:r>
          </w:p>
        </w:tc>
      </w:tr>
      <w:tr>
        <w:tc>
          <w:tcPr>
            <w:tcW w:type="dxa" w:w="4703"/>
          </w:tcPr>
          <w:p>
            <w:r>
              <w:rPr>
                <w:b/>
                <w:sz w:val="19"/>
              </w:rPr>
              <w:t>Compliance gap</w:t>
            </w:r>
          </w:p>
        </w:tc>
        <w:tc>
          <w:tcPr>
            <w:tcW w:type="dxa" w:w="4703"/>
          </w:tcPr>
          <w:p>
            <w:r>
              <w:rPr>
                <w:sz w:val="19"/>
              </w:rPr>
              <w:t>A specific area where a business's current operations or policies fall short of regulatory requirements</w:t>
            </w:r>
          </w:p>
        </w:tc>
      </w:tr>
      <w:tr>
        <w:tc>
          <w:tcPr>
            <w:tcW w:type="dxa" w:w="4703"/>
            <w:shd w:fill="EEF4FB" w:val="clear"/>
          </w:tcPr>
          <w:p>
            <w:r>
              <w:rPr>
                <w:b/>
                <w:sz w:val="19"/>
              </w:rPr>
              <w:t>FCCPC</w:t>
            </w:r>
          </w:p>
        </w:tc>
        <w:tc>
          <w:tcPr>
            <w:tcW w:type="dxa" w:w="4703"/>
            <w:shd w:fill="EEF4FB" w:val="clear"/>
          </w:tcPr>
          <w:p>
            <w:r>
              <w:rPr>
                <w:sz w:val="19"/>
              </w:rPr>
              <w:t>Federal Competition and Consumer Protection Commission — consumer protection regulator</w:t>
            </w:r>
          </w:p>
        </w:tc>
      </w:tr>
      <w:tr>
        <w:tc>
          <w:tcPr>
            <w:tcW w:type="dxa" w:w="4703"/>
          </w:tcPr>
          <w:p>
            <w:r>
              <w:rPr>
                <w:b/>
                <w:sz w:val="19"/>
              </w:rPr>
              <w:t>FIRS</w:t>
            </w:r>
          </w:p>
        </w:tc>
        <w:tc>
          <w:tcPr>
            <w:tcW w:type="dxa" w:w="4703"/>
          </w:tcPr>
          <w:p>
            <w:r>
              <w:rPr>
                <w:sz w:val="19"/>
              </w:rPr>
              <w:t>Federal Inland Revenue Service — Nigeria's federal tax authority</w:t>
            </w:r>
          </w:p>
        </w:tc>
      </w:tr>
      <w:tr>
        <w:tc>
          <w:tcPr>
            <w:tcW w:type="dxa" w:w="4703"/>
            <w:shd w:fill="EEF4FB" w:val="clear"/>
          </w:tcPr>
          <w:p>
            <w:r>
              <w:rPr>
                <w:b/>
                <w:sz w:val="19"/>
              </w:rPr>
              <w:t>Fintech</w:t>
            </w:r>
          </w:p>
        </w:tc>
        <w:tc>
          <w:tcPr>
            <w:tcW w:type="dxa" w:w="4703"/>
            <w:shd w:fill="EEF4FB" w:val="clear"/>
          </w:tcPr>
          <w:p>
            <w:r>
              <w:rPr>
                <w:sz w:val="19"/>
              </w:rPr>
              <w:t>Financial technology — companies using technology to deliver financial services</w:t>
            </w:r>
          </w:p>
        </w:tc>
      </w:tr>
      <w:tr>
        <w:tc>
          <w:tcPr>
            <w:tcW w:type="dxa" w:w="4703"/>
          </w:tcPr>
          <w:p>
            <w:r>
              <w:rPr>
                <w:b/>
                <w:sz w:val="19"/>
              </w:rPr>
              <w:t>Grounding score</w:t>
            </w:r>
          </w:p>
        </w:tc>
        <w:tc>
          <w:tcPr>
            <w:tcW w:type="dxa" w:w="4703"/>
          </w:tcPr>
          <w:p>
            <w:r>
              <w:rPr>
                <w:sz w:val="19"/>
              </w:rPr>
              <w:t>A metric (0–100%) produced by the Citation Verifier agent indicating what percentage of claims in the analysis are backed by retrieved regulatory text.</w:t>
            </w:r>
          </w:p>
        </w:tc>
      </w:tr>
      <w:tr>
        <w:tc>
          <w:tcPr>
            <w:tcW w:type="dxa" w:w="4703"/>
            <w:shd w:fill="EEF4FB" w:val="clear"/>
          </w:tcPr>
          <w:p>
            <w:r>
              <w:rPr>
                <w:b/>
                <w:sz w:val="19"/>
              </w:rPr>
              <w:t>KYC</w:t>
            </w:r>
          </w:p>
        </w:tc>
        <w:tc>
          <w:tcPr>
            <w:tcW w:type="dxa" w:w="4703"/>
            <w:shd w:fill="EEF4FB" w:val="clear"/>
          </w:tcPr>
          <w:p>
            <w:r>
              <w:rPr>
                <w:sz w:val="19"/>
              </w:rPr>
              <w:t>Know Your Customer — regulatory obligation to verify customer identity</w:t>
            </w:r>
          </w:p>
        </w:tc>
      </w:tr>
      <w:tr>
        <w:tc>
          <w:tcPr>
            <w:tcW w:type="dxa" w:w="4703"/>
          </w:tcPr>
          <w:p>
            <w:r>
              <w:rPr>
                <w:b/>
                <w:sz w:val="19"/>
              </w:rPr>
              <w:t>NDIC</w:t>
            </w:r>
          </w:p>
        </w:tc>
        <w:tc>
          <w:tcPr>
            <w:tcW w:type="dxa" w:w="4703"/>
          </w:tcPr>
          <w:p>
            <w:r>
              <w:rPr>
                <w:sz w:val="19"/>
              </w:rPr>
              <w:t>Nigeria Deposit Insurance Corporation — regulates deposit insurance for banks</w:t>
            </w:r>
          </w:p>
        </w:tc>
      </w:tr>
      <w:tr>
        <w:tc>
          <w:tcPr>
            <w:tcW w:type="dxa" w:w="4703"/>
            <w:shd w:fill="EEF4FB" w:val="clear"/>
          </w:tcPr>
          <w:p>
            <w:r>
              <w:rPr>
                <w:b/>
                <w:sz w:val="19"/>
              </w:rPr>
              <w:t>NDPA</w:t>
            </w:r>
          </w:p>
        </w:tc>
        <w:tc>
          <w:tcPr>
            <w:tcW w:type="dxa" w:w="4703"/>
            <w:shd w:fill="EEF4FB" w:val="clear"/>
          </w:tcPr>
          <w:p>
            <w:r>
              <w:rPr>
                <w:sz w:val="19"/>
              </w:rPr>
              <w:t>Nigeria Data Protection Act — data protection regulation</w:t>
            </w:r>
          </w:p>
        </w:tc>
      </w:tr>
      <w:tr>
        <w:tc>
          <w:tcPr>
            <w:tcW w:type="dxa" w:w="4703"/>
          </w:tcPr>
          <w:p>
            <w:r>
              <w:rPr>
                <w:b/>
                <w:sz w:val="19"/>
              </w:rPr>
              <w:t>NITDA</w:t>
            </w:r>
          </w:p>
        </w:tc>
        <w:tc>
          <w:tcPr>
            <w:tcW w:type="dxa" w:w="4703"/>
          </w:tcPr>
          <w:p>
            <w:r>
              <w:rPr>
                <w:sz w:val="19"/>
              </w:rPr>
              <w:t>National Information Technology Development Agency — IT and data governance regulator</w:t>
            </w:r>
          </w:p>
        </w:tc>
      </w:tr>
      <w:tr>
        <w:tc>
          <w:tcPr>
            <w:tcW w:type="dxa" w:w="4703"/>
            <w:shd w:fill="EEF4FB" w:val="clear"/>
          </w:tcPr>
          <w:p>
            <w:r>
              <w:rPr>
                <w:b/>
                <w:sz w:val="19"/>
              </w:rPr>
              <w:t>PSB</w:t>
            </w:r>
          </w:p>
        </w:tc>
        <w:tc>
          <w:tcPr>
            <w:tcW w:type="dxa" w:w="4703"/>
            <w:shd w:fill="EEF4FB" w:val="clear"/>
          </w:tcPr>
          <w:p>
            <w:r>
              <w:rPr>
                <w:sz w:val="19"/>
              </w:rPr>
              <w:t>Payment Service Bank — a category of licensed institution under CBN regulations</w:t>
            </w:r>
          </w:p>
        </w:tc>
      </w:tr>
      <w:tr>
        <w:tc>
          <w:tcPr>
            <w:tcW w:type="dxa" w:w="4703"/>
          </w:tcPr>
          <w:p>
            <w:r>
              <w:rPr>
                <w:b/>
                <w:sz w:val="19"/>
              </w:rPr>
              <w:t>SEC Nigeria</w:t>
            </w:r>
          </w:p>
        </w:tc>
        <w:tc>
          <w:tcPr>
            <w:tcW w:type="dxa" w:w="4703"/>
          </w:tcPr>
          <w:p>
            <w:r>
              <w:rPr>
                <w:sz w:val="19"/>
              </w:rPr>
              <w:t>Securities and Exchange Commission Nigeria — regulates capital markets and investment products</w:t>
            </w:r>
          </w:p>
        </w:tc>
      </w:tr>
      <w:tr>
        <w:tc>
          <w:tcPr>
            <w:tcW w:type="dxa" w:w="4703"/>
            <w:shd w:fill="EEF4FB" w:val="clear"/>
          </w:tcPr>
          <w:p>
            <w:r>
              <w:rPr>
                <w:b/>
                <w:sz w:val="19"/>
              </w:rPr>
              <w:t>SRC</w:t>
            </w:r>
          </w:p>
        </w:tc>
        <w:tc>
          <w:tcPr>
            <w:tcW w:type="dxa" w:w="4703"/>
            <w:shd w:fill="EEF4FB" w:val="clear"/>
          </w:tcPr>
          <w:p>
            <w:r>
              <w:rPr>
                <w:sz w:val="19"/>
              </w:rPr>
              <w:t>Summary Resolution Communication — a required communication to customers upon resolving their complaint, mandated by CBN Consumer Protection Regulations</w:t>
            </w:r>
          </w:p>
        </w:tc>
      </w:tr>
    </w:tbl>
    <w:p/>
    <w:p>
      <w:pPr>
        <w:pStyle w:val="Heading3"/>
      </w:pPr>
      <w:r>
        <w:t>Internal Terminology</w:t>
      </w:r>
    </w:p>
    <w:tbl>
      <w:tblPr>
        <w:tblStyle w:val="TableGrid"/>
        <w:tblW w:type="auto" w:w="0"/>
        <w:jc w:val="left"/>
        <w:tblLook w:firstColumn="1" w:firstRow="1" w:lastColumn="0" w:lastRow="0" w:noHBand="0" w:noVBand="1" w:val="04A0"/>
      </w:tblPr>
      <w:tblGrid>
        <w:gridCol w:w="4703"/>
        <w:gridCol w:w="4703"/>
      </w:tblGrid>
      <w:tr>
        <w:tc>
          <w:tcPr>
            <w:tcW w:type="dxa" w:w="4703"/>
            <w:shd w:fill="1E569A" w:val="clear"/>
          </w:tcPr>
          <w:p>
            <w:r>
              <w:rPr>
                <w:b/>
                <w:color w:val="FFFFFF"/>
                <w:sz w:val="19"/>
              </w:rPr>
              <w:t>Term</w:t>
            </w:r>
          </w:p>
        </w:tc>
        <w:tc>
          <w:tcPr>
            <w:tcW w:type="dxa" w:w="4703"/>
            <w:shd w:fill="1E569A" w:val="clear"/>
          </w:tcPr>
          <w:p>
            <w:r>
              <w:rPr>
                <w:b/>
                <w:color w:val="FFFFFF"/>
                <w:sz w:val="19"/>
              </w:rPr>
              <w:t>Definition</w:t>
            </w:r>
          </w:p>
        </w:tc>
      </w:tr>
      <w:tr>
        <w:tc>
          <w:tcPr>
            <w:tcW w:type="dxa" w:w="4703"/>
          </w:tcPr>
          <w:p>
            <w:r>
              <w:rPr>
                <w:b/>
                <w:sz w:val="19"/>
              </w:rPr>
              <w:t>Audit record</w:t>
            </w:r>
          </w:p>
        </w:tc>
        <w:tc>
          <w:tcPr>
            <w:tcW w:type="dxa" w:w="4703"/>
          </w:tcPr>
          <w:p>
            <w:r>
              <w:rPr>
                <w:sz w:val="19"/>
              </w:rPr>
              <w:t xml:space="preserve">A PostgreSQL row in </w:t>
            </w:r>
            <w:r>
              <w:rPr>
                <w:rFonts w:ascii="Courier New" w:hAnsi="Courier New"/>
                <w:color w:val="C7254E"/>
                <w:sz w:val="19"/>
              </w:rPr>
              <w:t>audit_records</w:t>
            </w:r>
            <w:r>
              <w:rPr>
                <w:sz w:val="19"/>
              </w:rPr>
              <w:t xml:space="preserve"> capturing the complete state of a workflow run — all agent outputs, citations, timing, and risk scores.</w:t>
            </w:r>
          </w:p>
        </w:tc>
      </w:tr>
      <w:tr>
        <w:tc>
          <w:tcPr>
            <w:tcW w:type="dxa" w:w="4703"/>
            <w:shd w:fill="EEF4FB" w:val="clear"/>
          </w:tcPr>
          <w:p>
            <w:r>
              <w:rPr>
                <w:b/>
                <w:sz w:val="19"/>
              </w:rPr>
              <w:t>Audit trace</w:t>
            </w:r>
          </w:p>
        </w:tc>
        <w:tc>
          <w:tcPr>
            <w:tcW w:type="dxa" w:w="4703"/>
            <w:shd w:fill="EEF4FB" w:val="clear"/>
          </w:tcPr>
          <w:p>
            <w:r>
              <w:rPr>
                <w:sz w:val="19"/>
              </w:rPr>
              <w:t xml:space="preserve">The </w:t>
            </w:r>
            <w:r>
              <w:rPr>
                <w:rFonts w:ascii="Courier New" w:hAnsi="Courier New"/>
                <w:color w:val="C7254E"/>
                <w:sz w:val="19"/>
              </w:rPr>
              <w:t>agent_trace</w:t>
            </w:r>
            <w:r>
              <w:rPr>
                <w:sz w:val="19"/>
              </w:rPr>
              <w:t xml:space="preserve"> field in an audit record — an ordered list showing which agents executed and in what sequence.</w:t>
            </w:r>
          </w:p>
        </w:tc>
      </w:tr>
      <w:tr>
        <w:tc>
          <w:tcPr>
            <w:tcW w:type="dxa" w:w="4703"/>
          </w:tcPr>
          <w:p>
            <w:r>
              <w:rPr>
                <w:b/>
                <w:sz w:val="19"/>
              </w:rPr>
              <w:t>Chunk</w:t>
            </w:r>
          </w:p>
        </w:tc>
        <w:tc>
          <w:tcPr>
            <w:tcW w:type="dxa" w:w="4703"/>
          </w:tcPr>
          <w:p>
            <w:r>
              <w:rPr>
                <w:sz w:val="19"/>
              </w:rPr>
              <w:t>A semantically coherent section of a regulatory document, produced by the chunking pipeline and stored as a vector in Qdrant.</w:t>
            </w:r>
          </w:p>
        </w:tc>
      </w:tr>
      <w:tr>
        <w:tc>
          <w:tcPr>
            <w:tcW w:type="dxa" w:w="4703"/>
            <w:shd w:fill="EEF4FB" w:val="clear"/>
          </w:tcPr>
          <w:p>
            <w:r>
              <w:rPr>
                <w:b/>
                <w:sz w:val="19"/>
              </w:rPr>
              <w:t>Contextual compression</w:t>
            </w:r>
          </w:p>
        </w:tc>
        <w:tc>
          <w:tcPr>
            <w:tcW w:type="dxa" w:w="4703"/>
            <w:shd w:fill="EEF4FB" w:val="clear"/>
          </w:tcPr>
          <w:p>
            <w:r>
              <w:rPr>
                <w:sz w:val="19"/>
              </w:rPr>
              <w:t>Step 7 of the RAG pipeline — using an LLM to reduce each retrieved chunk to only the sentences relevant to the query.</w:t>
            </w:r>
          </w:p>
        </w:tc>
      </w:tr>
      <w:tr>
        <w:tc>
          <w:tcPr>
            <w:tcW w:type="dxa" w:w="4703"/>
          </w:tcPr>
          <w:p>
            <w:r>
              <w:rPr>
                <w:b/>
                <w:sz w:val="19"/>
              </w:rPr>
              <w:t>Critic loop</w:t>
            </w:r>
          </w:p>
        </w:tc>
        <w:tc>
          <w:tcPr>
            <w:tcW w:type="dxa" w:w="4703"/>
          </w:tcPr>
          <w:p>
            <w:r>
              <w:rPr>
                <w:sz w:val="19"/>
              </w:rPr>
              <w:t xml:space="preserve">When the Critic agent assigns </w:t>
            </w:r>
            <w:r>
              <w:rPr>
                <w:rFonts w:ascii="Courier New" w:hAnsi="Courier New"/>
                <w:color w:val="C7254E"/>
                <w:sz w:val="19"/>
              </w:rPr>
              <w:t>overall_assessment: FAIL</w:t>
            </w:r>
            <w:r>
              <w:rPr>
                <w:sz w:val="19"/>
              </w:rPr>
              <w:t>, the workflow routes back to the Reasoning agent for refinement. Max 2 iterations by default.</w:t>
            </w:r>
          </w:p>
        </w:tc>
      </w:tr>
      <w:tr>
        <w:tc>
          <w:tcPr>
            <w:tcW w:type="dxa" w:w="4703"/>
            <w:shd w:fill="EEF4FB" w:val="clear"/>
          </w:tcPr>
          <w:p>
            <w:r>
              <w:rPr>
                <w:b/>
                <w:sz w:val="19"/>
              </w:rPr>
              <w:t>Freshness penalty</w:t>
            </w:r>
          </w:p>
        </w:tc>
        <w:tc>
          <w:tcPr>
            <w:tcW w:type="dxa" w:w="4703"/>
            <w:shd w:fill="EEF4FB" w:val="clear"/>
          </w:tcPr>
          <w:p>
            <w:r>
              <w:rPr>
                <w:sz w:val="19"/>
              </w:rPr>
              <w:t>A score multiplier (0.80–1.00) applied to chunks based on the age of their source document — older documents are ranked slightly lower.</w:t>
            </w:r>
          </w:p>
        </w:tc>
      </w:tr>
      <w:tr>
        <w:tc>
          <w:tcPr>
            <w:tcW w:type="dxa" w:w="4703"/>
          </w:tcPr>
          <w:p>
            <w:r>
              <w:rPr>
                <w:b/>
                <w:sz w:val="19"/>
              </w:rPr>
              <w:t>Ingestion pipeline</w:t>
            </w:r>
          </w:p>
        </w:tc>
        <w:tc>
          <w:tcPr>
            <w:tcW w:type="dxa" w:w="4703"/>
          </w:tcPr>
          <w:p>
            <w:r>
              <w:rPr>
                <w:sz w:val="19"/>
              </w:rPr>
              <w:t>The full process of converting a PDF into indexed, searchable vectors: parse → chunk → embed → store.</w:t>
            </w:r>
          </w:p>
        </w:tc>
      </w:tr>
      <w:tr>
        <w:tc>
          <w:tcPr>
            <w:tcW w:type="dxa" w:w="4703"/>
            <w:shd w:fill="EEF4FB" w:val="clear"/>
          </w:tcPr>
          <w:p>
            <w:r>
              <w:rPr>
                <w:b/>
                <w:sz w:val="19"/>
              </w:rPr>
              <w:t>Query expansion</w:t>
            </w:r>
          </w:p>
        </w:tc>
        <w:tc>
          <w:tcPr>
            <w:tcW w:type="dxa" w:w="4703"/>
            <w:shd w:fill="EEF4FB" w:val="clear"/>
          </w:tcPr>
          <w:p>
            <w:r>
              <w:rPr>
                <w:sz w:val="19"/>
              </w:rPr>
              <w:t>Step 1 of the RAG pipeline — using an LLM to generate 2 legal rephrasings of the user's query, improving retrieval recall.</w:t>
            </w:r>
          </w:p>
        </w:tc>
      </w:tr>
      <w:tr>
        <w:tc>
          <w:tcPr>
            <w:tcW w:type="dxa" w:w="4703"/>
          </w:tcPr>
          <w:p>
            <w:r>
              <w:rPr>
                <w:b/>
                <w:sz w:val="19"/>
              </w:rPr>
              <w:t>Session</w:t>
            </w:r>
          </w:p>
        </w:tc>
        <w:tc>
          <w:tcPr>
            <w:tcW w:type="dxa" w:w="4703"/>
          </w:tcPr>
          <w:p>
            <w:r>
              <w:rPr>
                <w:sz w:val="19"/>
              </w:rPr>
              <w:t xml:space="preserve">A UUID linking multiple </w:t>
            </w:r>
            <w:r>
              <w:rPr>
                <w:rFonts w:ascii="Courier New" w:hAnsi="Courier New"/>
                <w:color w:val="C7254E"/>
                <w:sz w:val="19"/>
              </w:rPr>
              <w:t>/analyze-business</w:t>
            </w:r>
            <w:r>
              <w:rPr>
                <w:sz w:val="19"/>
              </w:rPr>
              <w:t xml:space="preserve"> calls for the same investigation. In MVP, session IDs are request-scoped (one per call unless provided explicitly by the caller).</w:t>
            </w:r>
          </w:p>
        </w:tc>
      </w:tr>
      <w:tr>
        <w:tc>
          <w:tcPr>
            <w:tcW w:type="dxa" w:w="4703"/>
            <w:shd w:fill="EEF4FB" w:val="clear"/>
          </w:tcPr>
          <w:p>
            <w:r>
              <w:rPr>
                <w:b/>
                <w:sz w:val="19"/>
              </w:rPr>
              <w:t>Workflow</w:t>
            </w:r>
          </w:p>
        </w:tc>
        <w:tc>
          <w:tcPr>
            <w:tcW w:type="dxa" w:w="4703"/>
            <w:shd w:fill="EEF4FB" w:val="clear"/>
          </w:tcPr>
          <w:p>
            <w:r>
              <w:rPr>
                <w:sz w:val="19"/>
              </w:rPr>
              <w:t xml:space="preserve">The compiled LangGraph </w:t>
            </w:r>
            <w:r>
              <w:rPr>
                <w:rFonts w:ascii="Courier New" w:hAnsi="Courier New"/>
                <w:color w:val="C7254E"/>
                <w:sz w:val="19"/>
              </w:rPr>
              <w:t>StateGraph</w:t>
            </w:r>
            <w:r>
              <w:rPr>
                <w:sz w:val="19"/>
              </w:rPr>
              <w:t xml:space="preserve"> that orchestrates the 7-agent sequence for a single compliance analysis request.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A3A5C"/>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569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