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eastAsia="黑体"/>
        </w:rPr>
        <w:t>问卷数据自动分析报告</w:t>
      </w:r>
    </w:p>
    <w:p>
      <w:pPr>
        <w:jc w:val="center"/>
      </w:pPr>
      <w:r>
        <w:t>生成时间：2026-10-16 19:02</w:t>
        <w:br/>
        <w:t>生成方式：survey-analysis-pipeline 全自动分析管线</w:t>
        <w:br/>
        <w:t>数据说明：仿真问卷数据（N=320），仅用于管线演示，不代表真实结论</w:t>
      </w:r>
    </w:p>
    <w:p>
      <w:pPr>
        <w:pStyle w:val="Heading1"/>
      </w:pPr>
      <w:r>
        <w:rPr>
          <w:rFonts w:eastAsia="黑体"/>
          <w:color w:val="1F3D2E"/>
        </w:rPr>
        <w:t>一、样本清洗与质量控制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/>
          <w:right w:val="none"/>
          <w:insideV w:val="none"/>
          <w:insideH w:val="none"/>
        </w:tblBorders>
      </w:tblPr>
      <w:tblGrid>
        <w:gridCol w:w="4320"/>
        <w:gridCol w:w="4320"/>
      </w:tblGrid>
      <w:tr>
        <w:tc>
          <w:tcPr>
            <w:tcW w:type="dxa" w:w="4320"/>
            <w:tcBorders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环节</w:t>
            </w:r>
          </w:p>
        </w:tc>
        <w:tc>
          <w:tcPr>
            <w:tcW w:type="dxa" w:w="4320"/>
            <w:tcBorders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数值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原始样本量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320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越界值单元格数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直线作答剔除数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缺失过多剔除数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中位数插补单元格数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注意力检验失败剔除数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有效分析样本量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275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累计剔除率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14.1%</w:t>
            </w:r>
          </w:p>
        </w:tc>
      </w:tr>
    </w:tbl>
    <w:p/>
    <w:p>
      <w:r>
        <w:t>清洗规则：量表越界值置空并以题项中位数插补；量表题缺失比例超过 20% 的问卷整份剔除；直线作答（8 道量表题答案完全一致）与注意力检验题作答错误的问卷不进入分析样本。</w:t>
      </w:r>
    </w:p>
    <w:p>
      <w:pPr>
        <w:pStyle w:val="Heading1"/>
      </w:pPr>
      <w:r>
        <w:rPr>
          <w:rFonts w:eastAsia="黑体"/>
          <w:color w:val="1F3D2E"/>
        </w:rPr>
        <w:t>二、量表信度分析（Cronbach's α）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/>
          <w:right w:val="none"/>
          <w:insideV w:val="none"/>
          <w:insideH w:val="none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量表维度</w:t>
            </w:r>
          </w:p>
        </w:tc>
        <w:tc>
          <w:tcPr>
            <w:tcW w:type="dxa" w:w="1728"/>
            <w:tcBorders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题项数</w:t>
            </w:r>
          </w:p>
        </w:tc>
        <w:tc>
          <w:tcPr>
            <w:tcW w:type="dxa" w:w="1728"/>
            <w:tcBorders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Cronbach's α</w:t>
            </w:r>
          </w:p>
        </w:tc>
        <w:tc>
          <w:tcPr>
            <w:tcW w:type="dxa" w:w="1728"/>
            <w:tcBorders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删除单题后α范围</w:t>
            </w:r>
          </w:p>
        </w:tc>
        <w:tc>
          <w:tcPr>
            <w:tcW w:type="dxa" w:w="1728"/>
            <w:tcBorders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判定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环保态度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0.913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0.869 ~ 0.885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信度良好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质量信任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0.916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0.872 ~ 0.886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信度良好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购买意愿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0.885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—（两题量表不适用）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信度良好</w:t>
            </w:r>
          </w:p>
        </w:tc>
      </w:tr>
    </w:tbl>
    <w:p/>
    <w:p>
      <w:pPr>
        <w:pStyle w:val="Heading1"/>
      </w:pPr>
      <w:r>
        <w:rPr>
          <w:rFonts w:eastAsia="黑体"/>
          <w:color w:val="1F3D2E"/>
        </w:rPr>
        <w:t>三、描述统计</w:t>
      </w:r>
    </w:p>
    <w:p>
      <w:pPr>
        <w:pStyle w:val="Heading2"/>
      </w:pPr>
      <w:r>
        <w:rPr>
          <w:rFonts w:eastAsia="黑体"/>
          <w:color w:val="1F3D2E"/>
        </w:rPr>
        <w:t>3.1 分类变量频数分布（示例：学历）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/>
          <w:right w:val="none"/>
          <w:insideV w:val="none"/>
          <w:insideH w:val="none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取值</w:t>
            </w:r>
          </w:p>
        </w:tc>
        <w:tc>
          <w:tcPr>
            <w:tcW w:type="dxa" w:w="1728"/>
            <w:tcBorders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频数</w:t>
            </w:r>
          </w:p>
        </w:tc>
        <w:tc>
          <w:tcPr>
            <w:tcW w:type="dxa" w:w="1728"/>
            <w:tcBorders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百分比%</w:t>
            </w:r>
          </w:p>
        </w:tc>
        <w:tc>
          <w:tcPr>
            <w:tcW w:type="dxa" w:w="1728"/>
            <w:tcBorders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有效百分比%</w:t>
            </w:r>
          </w:p>
        </w:tc>
        <w:tc>
          <w:tcPr>
            <w:tcW w:type="dxa" w:w="1728"/>
            <w:tcBorders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累计百分比%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 高中及以下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39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14.18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14.18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14.18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 大专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54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19.64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19.64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33.82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3 本科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120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43.64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43.64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77.45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4 硕士及以上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62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22.55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22.55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100.0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合计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275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100.0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</w:tr>
    </w:tbl>
    <w:p/>
    <w:p>
      <w:pPr>
        <w:pStyle w:val="Heading2"/>
      </w:pPr>
      <w:r>
        <w:rPr>
          <w:rFonts w:eastAsia="黑体"/>
          <w:color w:val="1F3D2E"/>
        </w:rPr>
        <w:t>3.2 数值变量与量表得分描述统计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/>
          <w:right w:val="none"/>
          <w:insideV w:val="none"/>
          <w:insideH w:val="none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tcBorders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变量</w:t>
            </w:r>
          </w:p>
        </w:tc>
        <w:tc>
          <w:tcPr>
            <w:tcW w:type="dxa" w:w="1080"/>
            <w:tcBorders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N</w:t>
            </w:r>
          </w:p>
        </w:tc>
        <w:tc>
          <w:tcPr>
            <w:tcW w:type="dxa" w:w="1080"/>
            <w:tcBorders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均值</w:t>
            </w:r>
          </w:p>
        </w:tc>
        <w:tc>
          <w:tcPr>
            <w:tcW w:type="dxa" w:w="1080"/>
            <w:tcBorders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标准差</w:t>
            </w:r>
          </w:p>
        </w:tc>
        <w:tc>
          <w:tcPr>
            <w:tcW w:type="dxa" w:w="1080"/>
            <w:tcBorders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中位数</w:t>
            </w:r>
          </w:p>
        </w:tc>
        <w:tc>
          <w:tcPr>
            <w:tcW w:type="dxa" w:w="1080"/>
            <w:tcBorders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最小值</w:t>
            </w:r>
          </w:p>
        </w:tc>
        <w:tc>
          <w:tcPr>
            <w:tcW w:type="dxa" w:w="1080"/>
            <w:tcBorders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最大值</w:t>
            </w:r>
          </w:p>
        </w:tc>
        <w:tc>
          <w:tcPr>
            <w:tcW w:type="dxa" w:w="1080"/>
            <w:tcBorders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偏度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Q7_年龄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275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29.2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7.933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28.0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17.0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49.0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0.136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Q8_月支出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250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1213.56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291.518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1210.0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390.0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1940.0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-0.051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环保态度得分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275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2.999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0.943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5.0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-0.037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质量信任得分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275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2.943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0.958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5.0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-0.05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购买意愿得分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275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2.895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1.017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5.0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0.093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0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量表得分箱线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1　各量表维度得分箱线图</w:t>
      </w:r>
    </w:p>
    <w:p>
      <w:pPr>
        <w:pStyle w:val="Heading1"/>
      </w:pPr>
      <w:r>
        <w:rPr>
          <w:rFonts w:eastAsia="黑体"/>
          <w:color w:val="1F3D2E"/>
        </w:rPr>
        <w:t>四、交叉分析与卡方检验</w:t>
      </w:r>
    </w:p>
    <w:p>
      <w:pPr>
        <w:pStyle w:val="Heading2"/>
      </w:pPr>
      <w:r>
        <w:rPr>
          <w:rFonts w:eastAsia="黑体"/>
          <w:color w:val="1F3D2E"/>
        </w:rPr>
        <w:t>4.1 学历 × 购买情况 列联表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/>
          <w:right w:val="none"/>
          <w:insideV w:val="none"/>
          <w:insideH w:val="none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0 未购买</w:t>
            </w:r>
          </w:p>
        </w:tc>
        <w:tc>
          <w:tcPr>
            <w:tcW w:type="dxa" w:w="2880"/>
            <w:tcBorders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1 已购买</w:t>
            </w:r>
          </w:p>
        </w:tc>
        <w:tc>
          <w:tcPr>
            <w:tcW w:type="dxa" w:w="2880"/>
            <w:tcBorders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合计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39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54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66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54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120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62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143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132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275</w:t>
            </w:r>
          </w:p>
        </w:tc>
      </w:tr>
    </w:tbl>
    <w:p/>
    <w:p>
      <w:pPr>
        <w:pStyle w:val="Heading2"/>
      </w:pPr>
      <w:r>
        <w:rPr>
          <w:rFonts w:eastAsia="黑体"/>
          <w:color w:val="1F3D2E"/>
        </w:rPr>
        <w:t>4.2 卡方检验结果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/>
          <w:right w:val="none"/>
          <w:insideV w:val="none"/>
          <w:insideH w:val="none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χ²</w:t>
            </w:r>
          </w:p>
        </w:tc>
        <w:tc>
          <w:tcPr>
            <w:tcW w:type="dxa" w:w="1234"/>
            <w:tcBorders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自由度 df</w:t>
            </w:r>
          </w:p>
        </w:tc>
        <w:tc>
          <w:tcPr>
            <w:tcW w:type="dxa" w:w="1234"/>
            <w:tcBorders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p 值</w:t>
            </w:r>
          </w:p>
        </w:tc>
        <w:tc>
          <w:tcPr>
            <w:tcW w:type="dxa" w:w="1234"/>
            <w:tcBorders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Cramér's V</w:t>
            </w:r>
          </w:p>
        </w:tc>
        <w:tc>
          <w:tcPr>
            <w:tcW w:type="dxa" w:w="1234"/>
            <w:tcBorders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最小期望频数</w:t>
            </w:r>
          </w:p>
        </w:tc>
        <w:tc>
          <w:tcPr>
            <w:tcW w:type="dxa" w:w="1234"/>
            <w:tcBorders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期望频数是否均≥5</w:t>
            </w:r>
          </w:p>
        </w:tc>
        <w:tc>
          <w:tcPr>
            <w:tcW w:type="dxa" w:w="1234"/>
            <w:tcBorders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检验结论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1.736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0.629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0.079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18.72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在 0.05 水平上不显著</w:t>
            </w:r>
          </w:p>
        </w:tc>
      </w:tr>
    </w:tbl>
    <w:p/>
    <w:p>
      <w:r>
        <w:rPr>
          <w:b/>
        </w:rPr>
        <w:t>自动结论：</w:t>
      </w:r>
      <w:r>
        <w:t>卡方检验结果：χ²(3) = 1.736，p = 0.629，两变量在 0.05 水平上不显著；Cramér's V = 0.079，关联强度较弱。</w:t>
      </w:r>
    </w:p>
    <w:p>
      <w:r>
        <w:drawing>
          <wp:inline xmlns:a="http://schemas.openxmlformats.org/drawingml/2006/main" xmlns:pic="http://schemas.openxmlformats.org/drawingml/2006/picture">
            <wp:extent cx="540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购买率_按学历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2　不同学历组购买率</w:t>
      </w:r>
    </w:p>
    <w:p>
      <w:pPr>
        <w:pStyle w:val="Heading1"/>
      </w:pPr>
      <w:r>
        <w:rPr>
          <w:rFonts w:eastAsia="黑体"/>
          <w:color w:val="1F3D2E"/>
        </w:rPr>
        <w:t>五、购买行为影响因素：二元 Logistic 回归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/>
          <w:right w:val="none"/>
          <w:insideV w:val="none"/>
          <w:insideH w:val="none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tcBorders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变量</w:t>
            </w:r>
          </w:p>
        </w:tc>
        <w:tc>
          <w:tcPr>
            <w:tcW w:type="dxa" w:w="960"/>
            <w:tcBorders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回归系数B</w:t>
            </w:r>
          </w:p>
        </w:tc>
        <w:tc>
          <w:tcPr>
            <w:tcW w:type="dxa" w:w="960"/>
            <w:tcBorders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标准误SE</w:t>
            </w:r>
          </w:p>
        </w:tc>
        <w:tc>
          <w:tcPr>
            <w:tcW w:type="dxa" w:w="960"/>
            <w:tcBorders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Wald z</w:t>
            </w:r>
          </w:p>
        </w:tc>
        <w:tc>
          <w:tcPr>
            <w:tcW w:type="dxa" w:w="960"/>
            <w:tcBorders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p值</w:t>
            </w:r>
          </w:p>
        </w:tc>
        <w:tc>
          <w:tcPr>
            <w:tcW w:type="dxa" w:w="960"/>
            <w:tcBorders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OR值</w:t>
            </w:r>
          </w:p>
        </w:tc>
        <w:tc>
          <w:tcPr>
            <w:tcW w:type="dxa" w:w="960"/>
            <w:tcBorders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OR 95%CI下限</w:t>
            </w:r>
          </w:p>
        </w:tc>
        <w:tc>
          <w:tcPr>
            <w:tcW w:type="dxa" w:w="960"/>
            <w:tcBorders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OR 95%CI上限</w:t>
            </w:r>
          </w:p>
        </w:tc>
        <w:tc>
          <w:tcPr>
            <w:tcW w:type="dxa" w:w="960"/>
            <w:tcBorders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显著性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const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-3.106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0.835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-3.722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0.045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0.23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***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性别(1=男,2=女)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0.515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0.257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2.005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0.0449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1.674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1.012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2.771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*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学历(1-4)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-0.088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0.138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-0.636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0.525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0.916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0.698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1.201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年龄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0.183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0.8548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1.003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0.971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1.036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环保态度得分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0.281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0.173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1.621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1.324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0.943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1.859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质量信任得分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0.529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0.171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3.101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0.0019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1.697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1.215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2.371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**</w:t>
            </w:r>
          </w:p>
        </w:tc>
      </w:tr>
    </w:tbl>
    <w:p/>
    <w:p>
      <w:r>
        <w:t>模型概况：N = 275，McFadden Pseudo R² = 0.083，整体模型 p = 0.0。显著性标记：* p&lt;0.05，** p&lt;0.01，*** p&lt;0.001。OR&gt;1 表示该变量取值越高，购买发生比越大。</w:t>
      </w:r>
    </w:p>
    <w:p>
      <w:r>
        <w:drawing>
          <wp:inline xmlns:a="http://schemas.openxmlformats.org/drawingml/2006/main" xmlns:pic="http://schemas.openxmlformats.org/drawingml/2006/picture">
            <wp:extent cx="4680000" cy="36771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相关性热力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67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3　核心变量相关性热力图</w:t>
      </w:r>
    </w:p>
    <w:p>
      <w:pPr>
        <w:pStyle w:val="Heading1"/>
      </w:pPr>
      <w:r>
        <w:rPr>
          <w:rFonts w:eastAsia="黑体"/>
          <w:color w:val="1F3D2E"/>
        </w:rPr>
        <w:t>六、开放题文本关键词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/>
          <w:right w:val="none"/>
          <w:insideV w:val="none"/>
          <w:insideH w:val="none"/>
        </w:tblBorders>
      </w:tblPr>
      <w:tblGrid>
        <w:gridCol w:w="4320"/>
        <w:gridCol w:w="4320"/>
      </w:tblGrid>
      <w:tr>
        <w:tc>
          <w:tcPr>
            <w:tcW w:type="dxa" w:w="4320"/>
            <w:tcBorders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关键词</w:t>
            </w:r>
          </w:p>
        </w:tc>
        <w:tc>
          <w:tcPr>
            <w:tcW w:type="dxa" w:w="4320"/>
            <w:tcBorders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出现次数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认证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62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希望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55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价格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55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担心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42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标识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38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商超里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31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绿色蔬菜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31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太贵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31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多一些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31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补贴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31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总体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26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信任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26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40000" cy="32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开放题关键词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4　开放题高频关键词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