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2026-09-18 09:56:18（北京时间）</w:t>
            </w:r>
          </w:p>
        </w:tc>
      </w:tr>
      <w:tr>
        <w:tc>
          <w:tcPr>
            <w:tcW w:type="dxa" w:w="4997"/>
          </w:tcPr>
          <w:p>
            <w:r>
              <w:rPr>
                <w:b/>
              </w:rPr>
              <w:t>检索窗口</w:t>
            </w:r>
          </w:p>
        </w:tc>
        <w:tc>
          <w:tcPr>
            <w:tcW w:type="dxa" w:w="4997"/>
          </w:tcPr>
          <w:p>
            <w:r>
              <w:t>2023-09-19 — 2026-09-18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今日文献以定量干预或基准测试为主，聚焦AI与先前知识支持学习：中国肥胖儿童AI运动、EFL学习者AI语言工具、物理AI素养、LLM法律推理及阅读教学；凸显情境化、精准化与知识/心理机制。</w:t>
      </w:r>
    </w:p>
    <w:p>
      <w:pPr>
        <w:pStyle w:val="Heading1"/>
      </w:pPr>
      <w:r>
        <w:t>目录</w:t>
      </w:r>
    </w:p>
    <w:p>
      <w:pPr>
        <w:pStyle w:val="ListNumber"/>
      </w:pPr>
      <w:r>
        <w:rPr>
          <w:b/>
        </w:rPr>
        <w:t>AI辅助、缺陷导向运动干预后肥胖儿童身体成分与姿势控制的改善</w:t>
      </w:r>
      <w:r>
        <w:t>｜Frontiers in Public Health｜2026-09-17</w:t>
      </w:r>
    </w:p>
    <w:p>
      <w:pPr>
        <w:pStyle w:val="ListNumber"/>
      </w:pPr>
      <w:r>
        <w:rPr>
          <w:b/>
        </w:rPr>
        <w:t>基于生成式AI支持的情境化模拟促进中学物理AI素养转变：来自课程整合式探究的实地证据</w:t>
      </w:r>
      <w:r>
        <w:t>｜Journal of Science Education and Technology｜2026-09-17</w:t>
      </w:r>
    </w:p>
    <w:p>
      <w:pPr>
        <w:pStyle w:val="ListNumber"/>
      </w:pPr>
      <w:r>
        <w:rPr>
          <w:b/>
        </w:rPr>
        <w:t>探讨AI支持的运动技能语言学习工具在EFL学习者交际意愿中的作用：坚毅与享受的中介作用</w:t>
      </w:r>
      <w:r>
        <w:t>｜Perceptual and Motor Skills｜2026-09-17</w:t>
      </w:r>
    </w:p>
    <w:p>
      <w:pPr>
        <w:pStyle w:val="ListNumber"/>
      </w:pPr>
      <w:r>
        <w:rPr>
          <w:b/>
        </w:rPr>
        <w:t>IslamicLegalBench：评估LLM对跨越1200年伊斯兰多元法律传统的知识与推理</w:t>
      </w:r>
      <w:r>
        <w:t>｜Artificial Intelligence and Law｜2026-09-17</w:t>
      </w:r>
    </w:p>
    <w:p>
      <w:pPr>
        <w:pStyle w:val="ListNumber"/>
      </w:pPr>
      <w:r>
        <w:rPr>
          <w:b/>
        </w:rPr>
        <w:t>基于先前知识的教学对学生批判性与评价性阅读理解表现的影响</w:t>
      </w:r>
      <w:r>
        <w:t>｜INTERNATIONAL JOURNAL OF EDUCATION AND EVALUATION｜2026-09-17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Improvements in body composition and postural control in children with obesity following an AI-assisted, deficit-oriented exercise intervention / AI辅助、缺陷导向运动干预后肥胖儿童身体成分与姿势控制的改善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Improvements in body composition and postural control in children with obesity following an AI-assisted, deficit-oriented exercise intervention / AI辅助、缺陷导向运动干预后肥胖儿童身体成分与姿势控制的改善</w:t>
            </w:r>
          </w:p>
        </w:tc>
      </w:tr>
      <w:tr>
        <w:tc>
          <w:tcPr>
            <w:tcW w:type="dxa" w:w="4997"/>
          </w:tcPr>
          <w:p>
            <w:r>
              <w:rPr>
                <w:b/>
              </w:rPr>
              <w:t>作者</w:t>
            </w:r>
          </w:p>
        </w:tc>
        <w:tc>
          <w:tcPr>
            <w:tcW w:type="dxa" w:w="4997"/>
          </w:tcPr>
          <w:p>
            <w:r>
              <w:t>Lixin Cao, Xingxing Cheng, Changqing Deng, Yuexin Ren, Shunjiu Zhang, Lunyu Li</w:t>
            </w:r>
          </w:p>
        </w:tc>
      </w:tr>
      <w:tr>
        <w:tc>
          <w:tcPr>
            <w:tcW w:type="dxa" w:w="4997"/>
          </w:tcPr>
          <w:p>
            <w:r>
              <w:rPr>
                <w:b/>
              </w:rPr>
              <w:t>期刊及影响因子</w:t>
            </w:r>
          </w:p>
        </w:tc>
        <w:tc>
          <w:tcPr>
            <w:tcW w:type="dxa" w:w="4997"/>
          </w:tcPr>
          <w:p>
            <w:r>
              <w:t>SSCI分类：Environmental &amp; Occupational Health, Public；影响因子/JCR分区：白名单未提供影响因子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AVENUE DU TRIBUNAL FEDERAL 34, LAUSANNE, SWITZERLAND, CH-1015</w:t>
            </w:r>
          </w:p>
        </w:tc>
      </w:tr>
      <w:tr>
        <w:tc>
          <w:tcPr>
            <w:tcW w:type="dxa" w:w="4997"/>
          </w:tcPr>
          <w:p>
            <w:r>
              <w:rPr>
                <w:b/>
              </w:rPr>
              <w:t>卷期/DOI</w:t>
            </w:r>
          </w:p>
        </w:tc>
        <w:tc>
          <w:tcPr>
            <w:tcW w:type="dxa" w:w="4997"/>
          </w:tcPr>
          <w:p>
            <w:r>
              <w:t>卷期：摘要未说明；DOI：10.3389/fpubh.2026.1886988</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Environmental &amp; Occupational Health；Public</w:t>
            </w:r>
          </w:p>
        </w:tc>
      </w:tr>
      <w:tr>
        <w:tc>
          <w:tcPr>
            <w:tcW w:type="dxa" w:w="4997"/>
          </w:tcPr>
          <w:p>
            <w:r>
              <w:rPr>
                <w:b/>
              </w:rPr>
              <w:t>论文链接</w:t>
            </w:r>
          </w:p>
        </w:tc>
        <w:tc>
          <w:tcPr>
            <w:tcW w:type="dxa" w:w="4997"/>
          </w:tcPr>
          <w:p>
            <w:hyperlink r:id="rId9">
              <w:r>
                <w:rPr>
                  <w:color w:val="0563C1"/>
                  <w:u w:val="single"/>
                </w:rPr>
                <w:t>https://doi.org/10.3389/fpubh.2026.1886988</w:t>
              </w:r>
            </w:hyperlink>
          </w:p>
        </w:tc>
      </w:tr>
    </w:tbl>
    <w:p>
      <w:pPr>
        <w:pStyle w:val="Heading3"/>
      </w:pPr>
      <w:r>
        <w:t>研究摘要</w:t>
      </w:r>
    </w:p>
    <w:p>
      <w:r>
        <w:t>目的：考察AI辅助、个体化运动管理模式对肥胖儿童身体成分、体能和姿势稳定性的影响，并为后续随机对照试验提供可行性基础。方法：单组前后测试点研究。19名单纯性肥胖儿童（7名女孩、12名男孩；平均年龄10.11±2.0岁）来自West China Second Hospital，于2024年7—9月完成12周运动干预。AI系统基于基线评估生成个体化FITT-VP处方，并通过训练反馈动态调整，由现场教练实施；干预前后测量结果。结果：19名儿童均完成干预，无不良事件。BMI由25.29±3.56降至23.64±3.60 kg/m²（p&lt;0.001，d=0.46），体脂量由21.06±6.70降至17.94±6.69 kg（p&lt;0.001，d=0.47）；腰围、握力、1分钟跳绳、1分钟仰卧起坐、坐位体前屈均显著改善。八方向姿势控制评估中，端点偏移和最大偏移在所有方向呈改善趋势，四个方向反应时间显著降低；感觉统合测试中SOT-4和SOT-5平均平衡百分比显著增加（p&lt;0.01，d=1.05和d=0.58），综合平衡分增加24.15%（p&lt;0.001，d=1.28），视觉比率增加19.5%（p&lt;0.05，d=0.80），前庭比率增加15.3%（p=0.054，d=0.43）。结论：AI辅助、缺陷导向运动干预在该肥胖儿童队列中展示良好可行性与安全性；身体成分、运动功能和姿势控制指标的改善为儿童肥胖精准运动管理的后续确证性试验提供可行性依据。</w:t>
      </w:r>
    </w:p>
    <w:p>
      <w:pPr>
        <w:pStyle w:val="Heading3"/>
      </w:pPr>
      <w:r>
        <w:t>研究主要内容</w:t>
      </w:r>
    </w:p>
    <w:p>
      <w:r>
        <w:t>该文评估AI辅助、缺陷导向的个体化运动管理模型在肥胖儿童中的可行性和初步效果。研究采用单组前后测试点设计，19名单纯性肥胖儿童完成12周干预。AI系统根据基线评估生成个体化FITT-VP运动处方，并依据训练反馈动态调整，由现场教练实施。干预前后测量身体成分、体能和姿势控制。结果显示所有参与者均完成干预且无不良事件；BMI、体脂量、腰围、握力、1分钟跳绳、1分钟仰卧起坐、坐位体前屈等指标改善；八方向姿势控制和感觉统合测试多个指标改善或呈改善趋势。结论强调该模式具有可行性和安全性，并为后续随机对照试验提供基础。</w:t>
      </w:r>
    </w:p>
    <w:p>
      <w:pPr>
        <w:pStyle w:val="Heading3"/>
      </w:pPr>
      <w:r>
        <w:t>研究论点</w:t>
      </w:r>
    </w:p>
    <w:p>
      <w:r>
        <w:t>核心论点是：AI辅助、缺陷导向、个体化的运动管理在肥胖儿童中具有可行性和安全性，并伴随身体成分、运动功能和姿势控制方面的初步改善；但该研究为单组前后测试点，主要用于可行性验证，结论指向后续确证性试验，而非直接确证因果疗效。</w:t>
      </w:r>
    </w:p>
    <w:p>
      <w:pPr>
        <w:pStyle w:val="Heading3"/>
      </w:pPr>
      <w:r>
        <w:t>研究问题</w:t>
      </w:r>
    </w:p>
    <w:p>
      <w:r>
        <w:t>AI辅助、个体化运动管理模式对肥胖儿童的身体成分、体能和姿势稳定性有何影响？该模式能否为后续随机对照试验提供可行性基础？</w:t>
      </w:r>
    </w:p>
    <w:p>
      <w:pPr>
        <w:pStyle w:val="Heading3"/>
      </w:pPr>
      <w:r>
        <w:t>研究方法</w:t>
      </w:r>
    </w:p>
    <w:p>
      <w:r>
        <w:t>研究类型：定量取向的单组前后测试点研究。样本/参与者：19名单纯性肥胖儿童（7名女孩、12名男孩；平均年龄10.11±2.0岁），来自West China Second Hospital，2024年7—9月完成12周运动干预。干预：AI系统基于基线评估生成个体化FITT-VP处方，并通过训练反馈动态调整，由现场教练实施。数据来源：干预前后测量，包括身体成分（BMI、体脂量）、体能（腰围、握力、1分钟跳绳、1分钟仰卧起坐、坐位体前屈）和姿势控制（八方向姿势控制、感觉统合测试SOT-4、SOT-5、综合平衡分、视觉比率、前庭比率）。分析方法：摘要未明确说明具体统计检验方法；结果报告p值和Cohen's d效应量，并报告部分百分比变化。</w:t>
      </w:r>
    </w:p>
    <w:p>
      <w:pPr>
        <w:pStyle w:val="Heading3"/>
      </w:pPr>
      <w:r>
        <w:t>主要发现</w:t>
      </w:r>
    </w:p>
    <w:p>
      <w:r>
        <w:t>1. 可行性与安全性：19名肥胖儿童全部完成12周AI辅助运动干预，无不良事件报告。2. 身体成分显著改善：BMI从25.29±3.56降至23.64±3.60 kg/m²（p&lt;0.001，d=0.46），体脂量从21.06±6.70降至17.94±6.69 kg（p&lt;0.001，d=0.47），腰围亦显著改善（p&lt;0.01，d=0.31）。3. 体能与姿势控制改善：握力、1分钟跳绳、1分钟仰卧起坐、坐位体前屈显著改善；八方向姿势控制中端点偏移和最大偏移在所有方向呈改善趋势，四方向反应时间显著降低；SOT-4和SOT-5平均平衡百分比显著增加（p&lt;0.01，d=1.05和d=0.58），综合平衡分增加24.15%（p&lt;0.001，d=1.28），视觉比率增加19.5%（p&lt;0.05，d=0.80），前庭比率增加15.3%（p=0.054，d=0.43）。</w:t>
      </w:r>
    </w:p>
    <w:p>
      <w:pPr>
        <w:pStyle w:val="Heading3"/>
      </w:pPr>
      <w:r>
        <w:t>对教师教育研究的启示</w:t>
      </w:r>
    </w:p>
    <w:p>
      <w:r>
        <w:t>本文主题为AI辅助儿童肥胖运动干预，场景为医院/运动干预，不直接属于教师教育、教师数字素养或课堂教学中的AI整合研究；摘要未涉及教师样本、教师培训、教师角色、教师数字素养/智能素养/数据素养，也未说明学前教育或中小学课堂应用。若从方法论迁移角度参考：1）前沿主题上，可关注AI生成个体化方案、基于反馈动态调整、现场人员实施的人机协同干预模式；2）研究设计上，单组前后测试点可先评估可行性与安全性，再过渡到随机对照试验；3）数据收集与分析上，采用干预前后客观指标并报告p值与效应量，但本文未说明具体统计检验、盲法、流失控制和过程性数据收集；教师教育研究若借鉴，应补充教师层面变量（数字素养、AI接受度、教学行为）与学生层面结果。</w:t>
      </w:r>
    </w:p>
    <w:p>
      <w:pPr>
        <w:pStyle w:val="Heading3"/>
      </w:pPr>
      <w:r>
        <w:t>APA引用格式</w:t>
      </w:r>
    </w:p>
    <w:p>
      <w:r>
        <w:t>Cao, L., Cheng, X., Deng, C., Ren, Y., Zhang, S., &amp; Li, L. (2026). Improvements in body composition and postural control in children with obesity following an AI-assisted, deficit-oriented exercise intervention. Frontiers in Public Health. https://doi.org/10.3389/fpubh.2026.1886988</w:t>
      </w:r>
    </w:p>
    <w:p>
      <w:r>
        <w:br w:type="page"/>
      </w:r>
    </w:p>
    <w:p>
      <w:pPr>
        <w:pStyle w:val="Heading2"/>
      </w:pPr>
      <w:r>
        <w:t>2. Situated AI Literacy Change Through GenAI-Supported Simulation in Secondary Physics: Field Evidence from Curriculum-Integrated Inquiry / 基于生成式AI支持的情境化模拟促进中学物理AI素养转变：来自课程整合式探究的实地证据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Situated AI Literacy Change Through GenAI-Supported Simulation in Secondary Physics: Field Evidence from Curriculum-Integrated Inquiry / 基于生成式AI支持的情境化模拟促进中学物理AI素养转变：来自课程整合式探究的实地证据</w:t>
            </w:r>
          </w:p>
        </w:tc>
      </w:tr>
      <w:tr>
        <w:tc>
          <w:tcPr>
            <w:tcW w:type="dxa" w:w="4997"/>
          </w:tcPr>
          <w:p>
            <w:r>
              <w:rPr>
                <w:b/>
              </w:rPr>
              <w:t>作者</w:t>
            </w:r>
          </w:p>
        </w:tc>
        <w:tc>
          <w:tcPr>
            <w:tcW w:type="dxa" w:w="4997"/>
          </w:tcPr>
          <w:p>
            <w:r>
              <w:t>Natthawin Cho, H Li, Xiangling Zhang, Yanyan Li</w:t>
            </w:r>
          </w:p>
        </w:tc>
      </w:tr>
      <w:tr>
        <w:tc>
          <w:tcPr>
            <w:tcW w:type="dxa" w:w="4997"/>
          </w:tcPr>
          <w:p>
            <w:r>
              <w:rPr>
                <w:b/>
              </w:rPr>
              <w:t>期刊及影响因子</w:t>
            </w:r>
          </w:p>
        </w:tc>
        <w:tc>
          <w:tcPr>
            <w:tcW w:type="dxa" w:w="4997"/>
          </w:tcPr>
          <w:p>
            <w:r>
              <w:t>期刊：Journal of Science Education and Technology（SSCI，Education &amp; Educational Research）。影响因子：白名单未提供影响因子；JCR分区：白名单未提供JCR分区。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卷期信息：元数据未提供（缺失）；DOI：https://doi.org/10.1007/s10956-026-10359-9</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https://doi.org/10.1007/s10956-026-10359-9</w:t>
              </w:r>
            </w:hyperlink>
          </w:p>
        </w:tc>
      </w:tr>
    </w:tbl>
    <w:p>
      <w:pPr>
        <w:pStyle w:val="Heading3"/>
      </w:pPr>
      <w:r>
        <w:t>研究摘要</w:t>
      </w:r>
    </w:p>
    <w:p>
      <w:r>
        <w:t>元数据中未提供摘要（摘要未说明），因此无法据此生成中文内容摘要。可确认的仅为题录信息：论文标题指向“生成式AI支持的模拟”在“中学物理”情境中对“AI素养变化”的作用，并标注为“课程整合式探究”的实地证据。</w:t>
      </w:r>
    </w:p>
    <w:p>
      <w:pPr>
        <w:pStyle w:val="Heading3"/>
      </w:pPr>
      <w:r>
        <w:t>研究主要内容</w:t>
      </w:r>
    </w:p>
    <w:p>
      <w:r>
        <w:t>摘要未说明。仅从标题与关键词可推断，论文可能围绕中学物理教学中生成式AI支持的模拟（simulation）如何促进学生在情境中发展AI素养，并以课程整合式探究为实施路径；但具体研究背景、干预设计、课程内容与结论均无法从所给元数据中确认。</w:t>
      </w:r>
    </w:p>
    <w:p>
      <w:pPr>
        <w:pStyle w:val="Heading3"/>
      </w:pPr>
      <w:r>
        <w:t>研究论点</w:t>
      </w:r>
    </w:p>
    <w:p>
      <w:r>
        <w:t>摘要未说明，无法判断论文的核心论点。</w:t>
      </w:r>
    </w:p>
    <w:p>
      <w:pPr>
        <w:pStyle w:val="Heading3"/>
      </w:pPr>
      <w:r>
        <w:t>研究问题</w:t>
      </w:r>
    </w:p>
    <w:p>
      <w:r>
        <w:t>摘要未说明，无法确定具体研究问题。</w:t>
      </w:r>
    </w:p>
    <w:p>
      <w:pPr>
        <w:pStyle w:val="Heading3"/>
      </w:pPr>
      <w:r>
        <w:t>研究方法</w:t>
      </w:r>
    </w:p>
    <w:p>
      <w:r>
        <w:t>研究类型（定量/定性/混合）：摘要未说明。样本或参与者：摘要未说明。数据来源：摘要未说明。分析方法：摘要未说明。数据收集过程：摘要未说明。（所给元数据仅有标题、作者、期刊、发表日期、DOI与关键词，未包含摘要正文，故无法提取任何研究设计信息。）</w:t>
      </w:r>
    </w:p>
    <w:p>
      <w:pPr>
        <w:pStyle w:val="Heading3"/>
      </w:pPr>
      <w:r>
        <w:t>主要发现</w:t>
      </w:r>
    </w:p>
    <w:p>
      <w:r>
        <w:t>['摘要未说明，无法呈现具体研究发现。', '摘要未说明，无法呈现与AI素养变化相关的量化或质性结果。', '摘要未说明，无法呈现课程整合式探究在中学物理教学中的实施效果或影响因素。']</w:t>
      </w:r>
    </w:p>
    <w:p>
      <w:pPr>
        <w:pStyle w:val="Heading3"/>
      </w:pPr>
      <w:r>
        <w:t>对教师教育研究的启示</w:t>
      </w:r>
    </w:p>
    <w:p>
      <w:r>
        <w:t>因摘要缺失，无法从本文提炼可验证的启示。就检索与选题参考而言，可注意三点：第一，该文主题位于“生成式AI支持的情境化学习/模拟”与“中学学科（物理）课程整合”交叉处，属于AI教学应用与学科素养融合的前沿方向；第二，其标题强调“situated（情境化）”与“curriculum-integrated inquiry（课程整合式探究）”，提示研究设计可能采用真实课堂中的干预或设计研究取向，可作为教师教育中“AI融入学科教学”类研究的参照框架（具体设计与方法需查阅全文确认）；第三，标题中“AI literacy change（AI素养变化）”暗示可能关注素养的前后测或过程性变化，若需借鉴其数据收集与分析策略，应获取全文核实其量表、课堂观察、访谈或学习分析等具体手段。以上均为基于题录的检索提示，非论文原文结论。</w:t>
      </w:r>
    </w:p>
    <w:p>
      <w:pPr>
        <w:pStyle w:val="Heading3"/>
      </w:pPr>
      <w:r>
        <w:t>APA引用格式</w:t>
      </w:r>
    </w:p>
    <w:p>
      <w:r>
        <w:t>Cho, N., Li, H., Zhang, X., &amp; Li, Y. (2026). Situated AI literacy change through GenAI-supported simulation in secondary physics: Field evidence from curriculum-integrated inquiry. Journal of Science Education and Technology. https://doi.org/10.1007/s10956-026-10359-9</w:t>
      </w:r>
    </w:p>
    <w:p>
      <w:r>
        <w:br w:type="page"/>
      </w:r>
    </w:p>
    <w:p>
      <w:pPr>
        <w:pStyle w:val="Heading2"/>
      </w:pPr>
      <w:r>
        <w:t>3. Exploring the Role of AI-Supported Motor-Skill Language Learning Tools in EFL Learners’ Willingness to Communicate: The Mediating Roles of Grit and Enjoyment / 探讨AI支持的运动技能语言学习工具在EFL学习者交际意愿中的作用：坚毅与享受的中介作用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Role of AI-Supported Motor-Skill Language Learning Tools in EFL Learners’ Willingness to Communicate: The Mediating Roles of Grit and Enjoyment / 探讨AI支持的运动技能语言学习工具在EFL学习者交际意愿中的作用：坚毅与享受的中介作用</w:t>
            </w:r>
          </w:p>
        </w:tc>
      </w:tr>
      <w:tr>
        <w:tc>
          <w:tcPr>
            <w:tcW w:type="dxa" w:w="4997"/>
          </w:tcPr>
          <w:p>
            <w:r>
              <w:rPr>
                <w:b/>
              </w:rPr>
              <w:t>作者</w:t>
            </w:r>
          </w:p>
        </w:tc>
        <w:tc>
          <w:tcPr>
            <w:tcW w:type="dxa" w:w="4997"/>
          </w:tcPr>
          <w:p>
            <w:r>
              <w:t>Juan Long, Qin Yang, Peng Yina, Lei Pan</w:t>
            </w:r>
          </w:p>
        </w:tc>
      </w:tr>
      <w:tr>
        <w:tc>
          <w:tcPr>
            <w:tcW w:type="dxa" w:w="4997"/>
          </w:tcPr>
          <w:p>
            <w:r>
              <w:rPr>
                <w:b/>
              </w:rPr>
              <w:t>期刊及影响因子</w:t>
            </w:r>
          </w:p>
        </w:tc>
        <w:tc>
          <w:tcPr>
            <w:tcW w:type="dxa" w:w="4997"/>
          </w:tcPr>
          <w:p>
            <w:r>
              <w:t>白名单未提供影响因子 / 白名单未提供JCR分区；SSCI分类：English, Experimental,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1558-688X</w:t>
            </w:r>
          </w:p>
        </w:tc>
      </w:tr>
      <w:tr>
        <w:tc>
          <w:tcPr>
            <w:tcW w:type="dxa" w:w="4997"/>
          </w:tcPr>
          <w:p>
            <w:r>
              <w:rPr>
                <w:b/>
              </w:rPr>
              <w:t>卷期/DOI</w:t>
            </w:r>
          </w:p>
        </w:tc>
        <w:tc>
          <w:tcPr>
            <w:tcW w:type="dxa" w:w="4997"/>
          </w:tcPr>
          <w:p>
            <w:r>
              <w:t>卷期未提供；DOI: https://doi.org/10.1177/00315125261487804</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1">
              <w:r>
                <w:rPr>
                  <w:color w:val="0563C1"/>
                  <w:u w:val="single"/>
                </w:rPr>
                <w:t>https://doi.org/10.1177/00315125261487804</w:t>
              </w:r>
            </w:hyperlink>
          </w:p>
        </w:tc>
      </w:tr>
    </w:tbl>
    <w:p>
      <w:pPr>
        <w:pStyle w:val="Heading3"/>
      </w:pPr>
      <w:r>
        <w:t>研究摘要</w:t>
      </w:r>
    </w:p>
    <w:p>
      <w:r>
        <w:t>本研究考察AI支持的运动技能语言学习工具对EFL学习者交际意愿（WTC）的影响，并检验坚毅（grit）和享受（enjoyment）的中介作用。240名中国EFL学习者参与，分为实验组和控制组；实验组使用AI工具完成交际任务，控制组完成传统交际任务。八周干预后两组填写问卷，采用平行中介分析。结果显示两组WTC均提升，实验组提升更大；坚毅和享受均为显著中介，分别独特解释9.72%和13.31%的效应。摘要未说明参与者学段、随机分配、前测、具体测量工具及完整统计路径；研究建议将AI工具嵌入语言教学，营造支持性、包容性环境，并为外语教师提供建议。</w:t>
      </w:r>
    </w:p>
    <w:p>
      <w:pPr>
        <w:pStyle w:val="Heading3"/>
      </w:pPr>
      <w:r>
        <w:t>研究主要内容</w:t>
      </w:r>
    </w:p>
    <w:p>
      <w:r>
        <w:t>论文围绕AI辅助语言学习工具与EFL学习者交际意愿（WTC）的关系，引入坚毅和享受作为并行中介变量。研究通过实验组与控制组对比和八周干预，检验AI工具对WTC的促进作用及情感机制。摘要未说明具体AI工具类型、任务内容、学习者学段或教育阶段，因此无法判断是否属于学前教育或基础教育阶段。该文主题更偏外语学习者心理与语言学习，而非教师数字素养、智能素养、数据素养或教师教育中的AI整合。</w:t>
      </w:r>
    </w:p>
    <w:p>
      <w:pPr>
        <w:pStyle w:val="Heading3"/>
      </w:pPr>
      <w:r>
        <w:t>研究论点</w:t>
      </w:r>
    </w:p>
    <w:p>
      <w:r>
        <w:t>作者的核心论证是：AI支持的语言学习工具可能比传统交际任务更有效提升EFL学习者WTC，且坚毅和享受在其中发挥显著中介作用。研究结果支持实验组WTC改善更大，并显示坚毅和享受是显著中介变量。</w:t>
      </w:r>
    </w:p>
    <w:p>
      <w:pPr>
        <w:pStyle w:val="Heading3"/>
      </w:pPr>
      <w:r>
        <w:t>研究问题</w:t>
      </w:r>
    </w:p>
    <w:p>
      <w:r>
        <w:t>摘要未以研究问题形式明确列出；根据摘要，其研究目的为考察AI支持工具对EFL学习者WTC的影响，以及坚毅和享受是否在其中起中介作用。</w:t>
      </w:r>
    </w:p>
    <w:p>
      <w:pPr>
        <w:pStyle w:val="Heading3"/>
      </w:pPr>
      <w:r>
        <w:t>研究方法</w:t>
      </w:r>
    </w:p>
    <w:p>
      <w:r>
        <w:t>研究类型：定量研究，采用实验组-控制组干预设计，摘要未说明是否随机分配，也未说明是否有前测。样本或参与者：240名中国EFL学习者，分为实验组和控制组；摘要未说明学段、年龄、性别、语言水平等信息。数据来源：八周干预后两组完成问卷；具体问卷工具、量表、信效度及前测数据摘要未说明。干预方式：实验组使用AI工具完成交际任务，控制组完成传统交际任务。分析方法：平行中介分析，检验坚毅和享受的中介效应。</w:t>
      </w:r>
    </w:p>
    <w:p>
      <w:pPr>
        <w:pStyle w:val="Heading3"/>
      </w:pPr>
      <w:r>
        <w:t>主要发现</w:t>
      </w:r>
    </w:p>
    <w:p>
      <w:r>
        <w:t>['八周干预后，实验组和控制组的交际意愿（WTC）均有提升，但实验组的提升幅度更大。', '坚毅（grit）和享受（enjoyment）在该效应中均为显著中介变量。', '中介效应量方面，坚毅独特解释9.72%的效应，享受独特解释13.31%的效应；摘要未报告总效应、路径系数、置信区间、p值等具体统计值。']</w:t>
      </w:r>
    </w:p>
    <w:p>
      <w:pPr>
        <w:pStyle w:val="Heading3"/>
      </w:pPr>
      <w:r>
        <w:t>对教师教育研究的启示</w:t>
      </w:r>
    </w:p>
    <w:p>
      <w:r>
        <w:t>该文主题是AI辅助语言学习与EFL学习者情感及交际意愿，未直接研究教师数字素养、智能素养、数据素养或教师培训中的AI整合；摘要未说明对教师教育的具体启示。可借鉴之处：采用实验组与控制组、八周干预、问卷和并行中介分析，检验AI教学工具通过情感或动机变量影响学习结果。若教师教育研究借鉴，应补充前测、随机分配、多时间点数据、具体量表信效度、课堂观察或日志以及教师层面变量；摘要仅报告干预后问卷，未说明数据收集细节。原摘要建议将AI工具嵌入语言教学、营造支持包容环境，并为外语教师提供建议，但具体建议内容摘要未说明。</w:t>
      </w:r>
    </w:p>
    <w:p>
      <w:pPr>
        <w:pStyle w:val="Heading3"/>
      </w:pPr>
      <w:r>
        <w:t>APA引用格式</w:t>
      </w:r>
    </w:p>
    <w:p>
      <w:r>
        <w:t>Long, J., Yang, Q., Peng, Y., &amp; Pan, L. (2026). Exploring the role of AI-supported motor-skill language learning tools in EFL learners’ willingness to communicate: The mediating roles of grit and enjoyment. Perceptual and Motor Skills. https://doi.org/10.1177/00315125261487804</w:t>
      </w:r>
    </w:p>
    <w:p>
      <w:r>
        <w:br w:type="page"/>
      </w:r>
    </w:p>
    <w:p>
      <w:pPr>
        <w:pStyle w:val="Heading2"/>
      </w:pPr>
      <w:r>
        <w:t>4. IslamicLegalBench: Evaluating LLMs knowledge and reasoning of islamic law across 1,200 years of Islamic pluralist legal traditions / IslamicLegalBench：评估LLM对跨越1200年伊斯兰多元法律传统的知识与推理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IslamicLegalBench: Evaluating LLMs knowledge and reasoning of islamic law across 1,200 years of Islamic pluralist legal traditions / IslamicLegalBench：评估LLM对跨越1200年伊斯兰多元法律传统的知识与推理</w:t>
            </w:r>
          </w:p>
        </w:tc>
      </w:tr>
      <w:tr>
        <w:tc>
          <w:tcPr>
            <w:tcW w:type="dxa" w:w="4997"/>
          </w:tcPr>
          <w:p>
            <w:r>
              <w:rPr>
                <w:b/>
              </w:rPr>
              <w:t>作者</w:t>
            </w:r>
          </w:p>
        </w:tc>
        <w:tc>
          <w:tcPr>
            <w:tcW w:type="dxa" w:w="4997"/>
          </w:tcPr>
          <w:p>
            <w:r>
              <w:t>Ezieddin Elmahjub, Junaid Qadir, Abdullah Mushtaq, Rafay Naeem, Ibrahim Ghaznavi, Waleed Iqbal</w:t>
            </w:r>
          </w:p>
        </w:tc>
      </w:tr>
      <w:tr>
        <w:tc>
          <w:tcPr>
            <w:tcW w:type="dxa" w:w="4997"/>
          </w:tcPr>
          <w:p>
            <w:r>
              <w:rPr>
                <w:b/>
              </w:rPr>
              <w:t>期刊及影响因子</w:t>
            </w:r>
          </w:p>
        </w:tc>
        <w:tc>
          <w:tcPr>
            <w:tcW w:type="dxa" w:w="4997"/>
          </w:tcPr>
          <w:p>
            <w:r>
              <w:t>期刊：Artificial Intelligence and Law；SSCI分类：English, Law；影响因子/分区：白名单未提供影响因子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1572-8382</w:t>
            </w:r>
          </w:p>
        </w:tc>
      </w:tr>
      <w:tr>
        <w:tc>
          <w:tcPr>
            <w:tcW w:type="dxa" w:w="4997"/>
          </w:tcPr>
          <w:p>
            <w:r>
              <w:rPr>
                <w:b/>
              </w:rPr>
              <w:t>卷期/DOI</w:t>
            </w:r>
          </w:p>
        </w:tc>
        <w:tc>
          <w:tcPr>
            <w:tcW w:type="dxa" w:w="4997"/>
          </w:tcPr>
          <w:p>
            <w:r>
              <w:t>卷期未说明；DOI: 10.1007/s10506-026-09535-4</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English；Law</w:t>
            </w:r>
          </w:p>
        </w:tc>
      </w:tr>
      <w:tr>
        <w:tc>
          <w:tcPr>
            <w:tcW w:type="dxa" w:w="4997"/>
          </w:tcPr>
          <w:p>
            <w:r>
              <w:rPr>
                <w:b/>
              </w:rPr>
              <w:t>论文链接</w:t>
            </w:r>
          </w:p>
        </w:tc>
        <w:tc>
          <w:tcPr>
            <w:tcW w:type="dxa" w:w="4997"/>
          </w:tcPr>
          <w:p>
            <w:hyperlink r:id="rId12">
              <w:r>
                <w:rPr>
                  <w:color w:val="0563C1"/>
                  <w:u w:val="single"/>
                </w:rPr>
                <w:t>https://doi.org/10.1007/s10506-026-09535-4</w:t>
              </w:r>
            </w:hyperlink>
          </w:p>
        </w:tc>
      </w:tr>
    </w:tbl>
    <w:p>
      <w:pPr>
        <w:pStyle w:val="Heading3"/>
      </w:pPr>
      <w:r>
        <w:t>研究摘要</w:t>
      </w:r>
    </w:p>
    <w:p>
      <w:r>
        <w:t>本文提出IslamicLegalBench，首个多学派伊斯兰法基准，用于评估LLM在广泛伊斯兰法学（fiqh）中的表现。基准从37部基础法律文本、跨越1200年、七个法学派中人工收集并组织718个评估实例，覆盖13项任务，并按复杂度分层，从基础回忆到法律理由识别（‘illah）、类比应用（qiyās）和跨学派综合。研究评估9个最先进LLM，发现显著局限：最佳模型仅达67.65%正确率和21.25%幻觉率；部分模型正确率低于35%，幻觉率超过55%。Few-shot提示无一致收益，模型分数变化为-3.64至+4.16分，收益集中在已较弱模型，说明封闭书本条件下提示无法弥补当前训练数据中伊斯兰法律知识不足。中等复杂度、需要精确逐字知识的任务错误率和幻觉率高，幻觉率最高达73%；高复杂度任务表现更好，可能因模型依赖语义泛化和冗长推理。虚假前提检测显示迎合风险：few-shot下9个模型中有5个接受误导假设的比例超过40%，最差为86.27%；few-shot使迎合性增加3.49个百分点。虚假前提接受率与总体表现呈强且显著负相关（Pearson r = –0.91, n = 9, p &lt; 0.01）。结论是伊斯兰NLP的路径不在于轻量后处理如提示或指令调优，而在于丰富知识，优先用覆盖古典圣训集、主要伊斯兰法学派著作和法典汇编的大规模伊斯兰法律语料训练模型。</w:t>
      </w:r>
    </w:p>
    <w:p>
      <w:pPr>
        <w:pStyle w:val="Heading3"/>
      </w:pPr>
      <w:r>
        <w:t>研究主要内容</w:t>
      </w:r>
    </w:p>
    <w:p>
      <w:r>
        <w:t>本文主题为伊斯兰法律领域的LLM基准评估，提出IslamicLegalBench，构建跨七个法学派、37部基础法律文本、1200年法律传统、718个实例和13项任务的评估集，并评估9个最先进LLM。研究关注模型在伊斯兰法知识回忆、法律理由识别、类比应用和跨学派综合中的正确率、幻觉率、few-shot提示效应及虚假前提迎合行为。摘要未显示该文属于学前教育、基础教育或教师教育主题，也未讨论教师数字素养、AI教学应用或教师培训中的AI整合。</w:t>
      </w:r>
    </w:p>
    <w:p>
      <w:pPr>
        <w:pStyle w:val="Heading3"/>
      </w:pPr>
      <w:r>
        <w:t>研究论点</w:t>
      </w:r>
    </w:p>
    <w:p>
      <w:r>
        <w:t>论文主张：当前LLM在伊斯兰法律领域缺乏足够知识与精确推理能力，易产生幻觉和迎合性错误；few-shot提示或指令调优等轻量后处理不能补偿领域知识缺口，应优先通过大规模、多学派、跨时期的伊斯兰法律语料来丰富模型知识。</w:t>
      </w:r>
    </w:p>
    <w:p>
      <w:pPr>
        <w:pStyle w:val="Heading3"/>
      </w:pPr>
      <w:r>
        <w:t>研究问题</w:t>
      </w:r>
    </w:p>
    <w:p>
      <w:r>
        <w:t>核心问题是：LLM能否可靠地推理伊斯兰法？具体评估其跨多学派伊斯兰法知识与推理表现、不同复杂度任务上的表现、few-shot提示是否带来收益，以及模型在虚假前提和迎合行为上的风险。更细的正式研究问题摘要未说明。</w:t>
      </w:r>
    </w:p>
    <w:p>
      <w:pPr>
        <w:pStyle w:val="Heading3"/>
      </w:pPr>
      <w:r>
        <w:t>研究方法</w:t>
      </w:r>
    </w:p>
    <w:p>
      <w:r>
        <w:t>研究类型：以基准测试为基础的定量计算评估，非传统调查或干预实验。样本或参与者：9个最先进LLM；评估数据集包括718个实例、13项任务，来自37部基础法律文本、七个法学派、跨越1200年。数据来源：37部基础伊斯兰法律文本，由研究者人工收集并组织，按任务复杂度分层。分析方法：模型基准测试；计算正确率与幻觉率；比较few-shot prompting前后变化；检测虚假前提接受率和迎合行为；使用Pearson相关分析虚假前提接受率与总体表现关系（r = –0.91, n = 9, p &lt; 0.01）。具体模型版本、数据划分、标注者一致性、提示细节和额外统计检验摘要未说明。</w:t>
      </w:r>
    </w:p>
    <w:p>
      <w:pPr>
        <w:pStyle w:val="Heading3"/>
      </w:pPr>
      <w:r>
        <w:t>主要发现</w:t>
      </w:r>
    </w:p>
    <w:p>
      <w:r>
        <w:t>1）9个最先进LLM整体表现有限：最佳模型正确率仅67.65%，幻觉率21.25%；部分模型正确率低于35%，幻觉率超过55%。2）Few-shot提示无一致收益，变化范围为-3.64至+4.16分，增益集中在已较弱模型；需要精确逐字知识的中等复杂度任务错误率和幻觉率高，幻觉率最高达73%，而高复杂度任务因语义泛化和冗长推理表现较好。3）虚假前提检测显示迎合风险：few-shot下5/9模型接受误导假设率超过40%，最差86.27%；few-shot使迎合性增加3.49个百分点；虚假前提接受率与总体表现强负相关（Pearson r = –0.91, n = 9, p &lt; 0.01），表明应优先丰富领域知识而非依赖轻量提示调优。</w:t>
      </w:r>
    </w:p>
    <w:p>
      <w:pPr>
        <w:pStyle w:val="Heading3"/>
      </w:pPr>
      <w:r>
        <w:t>对教师教育研究的启示</w:t>
      </w:r>
    </w:p>
    <w:p>
      <w:r>
        <w:t>摘要未说明对教师教育研究的直接启示；本文对象为伊斯兰法律LLM评估，不涉及学前教育、基础教育、AI教学应用、教师数字素养或教师培训中的AI整合。可间接参考其研究设计与数据方法：构建人工整理、按复杂度分层的领域基准；用正确率、幻觉率、few-shot提示前后变化、虚假前提接受率和Pearson相关评估多个模型；区分精确逐字知识任务与语义泛化任务。若迁移至教师教育，需重新设计围绕教师AI素养、AI教学应用和教师培训的语料、任务与样本，摘要未提供此类证据。</w:t>
      </w:r>
    </w:p>
    <w:p>
      <w:pPr>
        <w:pStyle w:val="Heading3"/>
      </w:pPr>
      <w:r>
        <w:t>APA引用格式</w:t>
      </w:r>
    </w:p>
    <w:p>
      <w:r>
        <w:t>Elmahjub, E., Qadir, J., Mushtaq, A., Naeem, R., Ghaznavi, I., &amp; Iqbal, W. (2026). IslamicLegalBench: Evaluating LLMs knowledge and reasoning of Islamic law across 1,200 years of Islamic pluralist legal traditions. Artificial Intelligence and Law. https://doi.org/10.1007/s10506-026-09535-4</w:t>
      </w:r>
    </w:p>
    <w:p>
      <w:r>
        <w:br w:type="page"/>
      </w:r>
    </w:p>
    <w:p>
      <w:pPr>
        <w:pStyle w:val="Heading2"/>
      </w:pPr>
      <w:r>
        <w:t>5. Effects of Prior Knowledge-Based Instruction on Students’ Critical and Evaluative Reading Comprehension Performance / 基于先前知识的教学对学生批判性与评价性阅读理解表现的影响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Effects of Prior Knowledge-Based Instruction on Students’ Critical and Evaluative Reading Comprehension Performance / 基于先前知识的教学对学生批判性与评价性阅读理解表现的影响</w:t>
            </w:r>
          </w:p>
        </w:tc>
      </w:tr>
      <w:tr>
        <w:tc>
          <w:tcPr>
            <w:tcW w:type="dxa" w:w="4997"/>
          </w:tcPr>
          <w:p>
            <w:r>
              <w:rPr>
                <w:b/>
              </w:rPr>
              <w:t>作者</w:t>
            </w:r>
          </w:p>
        </w:tc>
        <w:tc>
          <w:tcPr>
            <w:tcW w:type="dxa" w:w="4997"/>
          </w:tcPr>
          <w:p>
            <w:r>
              <w:t>Jamila Mustapha</w:t>
            </w:r>
          </w:p>
        </w:tc>
      </w:tr>
      <w:tr>
        <w:tc>
          <w:tcPr>
            <w:tcW w:type="dxa" w:w="4997"/>
          </w:tcPr>
          <w:p>
            <w:r>
              <w:rPr>
                <w:b/>
              </w:rPr>
              <w:t>期刊及影响因子</w:t>
            </w:r>
          </w:p>
        </w:tc>
        <w:tc>
          <w:tcPr>
            <w:tcW w:type="dxa" w:w="4997"/>
          </w:tcPr>
          <w:p>
            <w:r>
              <w:t>期刊：International Journal of Education and Evaluation；SSCI分类：Interdisciplinary, Social Sciences；影响因子/分区：白名单未提供影响因子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第12卷第1期，第219–233页；DOI: 10.56201/ijee.v12.no.1.2026.pg219.233</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3">
              <w:r>
                <w:rPr>
                  <w:color w:val="0563C1"/>
                  <w:u w:val="single"/>
                </w:rPr>
                <w:t>https://doi.org/10.56201/ijee.v12.no.1.2026.pg219.233</w:t>
              </w:r>
            </w:hyperlink>
          </w:p>
        </w:tc>
      </w:tr>
    </w:tbl>
    <w:p>
      <w:pPr>
        <w:pStyle w:val="Heading3"/>
      </w:pPr>
      <w:r>
        <w:t>研究摘要</w:t>
      </w:r>
    </w:p>
    <w:p>
      <w:r>
        <w:t>本研究考察基于先前知识的教学对尼日利亚Niger State高中学生批判性与评价性阅读理解表现的影响。研究指出，第二语言学习者在较高认知层次的阅读理解中持续面临困难，原因包括教学策略不足以及学生已有知识框架未被充分激活。研究采用准实验前测—后测非随机控制组设计，通过多阶段抽样从Bida地方政府区两所公立学校选取120名高中（senior secondary）学生；实验组60人接受基于先前知识激活技术的教学，控制组60人接受常规教学。数据由经过验证的阅读理解篇章收集，用于评估字面、推断、批判和评价理解水平，工具信度为0.85（Kendall和谐系数）。数据分析采用描述统计（均值和标准差）和推断统计（t检验），显著性水平为0.05。结果显示，两组前测平均分接近（实验组1.9，控制组1.8），但实验组后测平均分（2.3）显著高于控制组（2.1），t计算值（3.92）大于t临界值（1.96）。研究结论认为，先验知识激活能通过帮助学生更有效地分析、解释和评价文本信息，显著提升其批判性评价阅读理解；建议开展相关教师培训、将图式化阅读教学纳入课程并组织持续专业发展工作坊。</w:t>
      </w:r>
    </w:p>
    <w:p>
      <w:pPr>
        <w:pStyle w:val="Heading3"/>
      </w:pPr>
      <w:r>
        <w:t>研究主要内容</w:t>
      </w:r>
    </w:p>
    <w:p>
      <w:r>
        <w:t>论文聚焦尼日利亚高中二语阅读教学中的高阶阅读理解问题。研究背景是学生在批判性和评价性阅读理解上表现不足，部分原因在于教学策略不够有效，且未能激活学生已有知识框架。研究目的为检验基于先前知识的教学是否比常规方法更能提升学生的批判性与评价性阅读理解表现。研究采用准实验前测—后测非随机控制组设计，样本为Bida地方政府区两所公立学校的120名高中学生，实验组与控制组各60人。实验组接受先前知识激活技术教学，控制组接受常规教学。数据来自经过验证的阅读理解篇章，覆盖字面、推断、批判和评价理解层级，信度为0.85（Kendall和谐系数）。分析使用均值、标准差和t检验，显著性水平0.05。结果显示实验组后测表现显著优于控制组，说明先验知识激活对高阶阅读理解有积极影响。论文据此强调图式激活在阅读教学中的重要性，并指出教师在创新教学策略方面的专业知识缺口，建议加强教师培训、课程整合和持续专业发展。</w:t>
      </w:r>
    </w:p>
    <w:p>
      <w:pPr>
        <w:pStyle w:val="Heading3"/>
      </w:pPr>
      <w:r>
        <w:t>研究论点</w:t>
      </w:r>
    </w:p>
    <w:p>
      <w:r>
        <w:t>论文的核心论点是：基于先前知识激活的教学能够显著提升学生在批判性和评价性层面的阅读理解表现，尤其有助于第二语言学习者分析、解释和评价文本信息；因此，图式激活应成为阅读教学的重要策略，而教师教育需弥补教师在创新教学策略方面的专业知识缺口。</w:t>
      </w:r>
    </w:p>
    <w:p>
      <w:pPr>
        <w:pStyle w:val="Heading3"/>
      </w:pPr>
      <w:r>
        <w:t>研究问题</w:t>
      </w:r>
    </w:p>
    <w:p>
      <w:r>
        <w:t>摘要未明确列出研究问题。可据摘要概括的研究目的为：考察基于先前知识的教学对尼日利亚Niger State高中学生批判性与评价性阅读理解表现的影响。</w:t>
      </w:r>
    </w:p>
    <w:p>
      <w:pPr>
        <w:pStyle w:val="Heading3"/>
      </w:pPr>
      <w:r>
        <w:t>研究方法</w:t>
      </w:r>
    </w:p>
    <w:p>
      <w:r>
        <w:t>研究类型：准实验研究，采用前测—后测非随机控制组设计。样本/参与者：120名高中（senior secondary）学生，通过多阶段抽样来自Bida地方政府区两所公立学校；实验组60人，控制组60人。数据来源：经过验证的阅读理解篇章，用于评估字面、推断、批判和评价四个理解层级；工具信度为0.85（Kendall和谐系数）。分析方法：描述统计（均值和标准差）与推断统计（t检验），显著性水平为0.05。摘要未说明干预持续时间、具体年级、性别构成、教师特征及额外控制变量。</w:t>
      </w:r>
    </w:p>
    <w:p>
      <w:pPr>
        <w:pStyle w:val="Heading3"/>
      </w:pPr>
      <w:r>
        <w:t>主要发现</w:t>
      </w:r>
    </w:p>
    <w:p>
      <w:r>
        <w:t>['前测阶段两组表现接近：实验组平均分为1.9，控制组为1.8，表明干预前阅读水平大致相当。', '后测阶段实验组平均分（2.3）显著高于控制组（2.1），t计算值（3.92）大于t临界值（1.96），在0.05水平上差异显著。', '基于先前知识激活的教学帮助学生更有效地分析、解释和评价文本信息，尤其提升批判性与评价性阅读理解；研究还指出教师对创新教学策略的专业知识存在缺口。']</w:t>
      </w:r>
    </w:p>
    <w:p>
      <w:pPr>
        <w:pStyle w:val="Heading3"/>
      </w:pPr>
      <w:r>
        <w:t>对教师教育研究的启示</w:t>
      </w:r>
    </w:p>
    <w:p>
      <w:r>
        <w:t>['主题层面：教师教育研究可关注“先验知识/图式激活”作为阅读教学和教师培训的干预点，尤其面向第二语言学习者和高阶阅读理解；该研究在高中开展，若面向小学、初中教师教育，需要进一步验证其适切性。', '研究设计层面：该文采用准实验前测—后测非随机控制组设计、多阶段抽样和实验/控制组比较，适合评估教学策略或教师培训干预效果；未来教师教育研究可增加随机分配、教师层面变量和课堂实施过程数据。', '数据收集与分析层面：使用经过验证的阅读理解测验区分字面、推断、批判、评价层级，报告Kendall和谐系数信度，并采用均值、标准差和t检验比较前后测；教师教育研究可借鉴分层测评与前后测设计，并加入访谈、课堂观察等质性数据解释教师如何激活学生先验知识。', '实践启示层面：摘要建议开展先验知识激活策略的系统教师培训、将图式化阅读教学纳入课程，并由教育主管部门组织定期专业发展工作坊。']</w:t>
      </w:r>
    </w:p>
    <w:p>
      <w:pPr>
        <w:pStyle w:val="Heading3"/>
      </w:pPr>
      <w:r>
        <w:t>APA引用格式</w:t>
      </w:r>
    </w:p>
    <w:p>
      <w:r>
        <w:t>Mustapha, J. (2026). Effects of prior knowledge-based instruction on students’ critical and evaluative reading comprehension performance. International Journal of Education and Evaluation, 12(1), 219–233. https://doi.org/10.56201/ijee.v12.no.1.2026.pg219.233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128.15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pubh.2026.1886988" TargetMode="External"/><Relationship Id="rId10" Type="http://schemas.openxmlformats.org/officeDocument/2006/relationships/hyperlink" Target="https://doi.org/10.1007/s10956-026-10359-9" TargetMode="External"/><Relationship Id="rId11" Type="http://schemas.openxmlformats.org/officeDocument/2006/relationships/hyperlink" Target="https://doi.org/10.1177/00315125261487804" TargetMode="External"/><Relationship Id="rId12" Type="http://schemas.openxmlformats.org/officeDocument/2006/relationships/hyperlink" Target="https://doi.org/10.1007/s10506-026-09535-4" TargetMode="External"/><Relationship Id="rId13" Type="http://schemas.openxmlformats.org/officeDocument/2006/relationships/hyperlink" Target="https://doi.org/10.56201/ijee.v12.no.1.2026.pg219.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