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每日SSCI文献简报｜2026-10-25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2026-10-25 10:04:51（北京时间）</w:t>
            </w:r>
          </w:p>
        </w:tc>
      </w:tr>
      <w:tr>
        <w:tc>
          <w:tcPr>
            <w:tcW w:type="dxa" w:w="4997"/>
          </w:tcPr>
          <w:p>
            <w:r>
              <w:rPr>
                <w:b/>
              </w:rPr>
              <w:t>检索窗口</w:t>
            </w:r>
          </w:p>
        </w:tc>
        <w:tc>
          <w:tcPr>
            <w:tcW w:type="dxa" w:w="4997"/>
          </w:tcPr>
          <w:p>
            <w:r>
              <w:t>2023-10-26 — 2026-10-25</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与数字能力在教育中的应用，方法以混合方法、课堂视频和教学实验为主；创新点在于将教师AI能力与职业身份、数字责任及AIGC赋能非遗设计联系起来，尤贴近中国情境，提示技术培训需兼顾伦理、文化与设计素养。</w:t>
      </w:r>
    </w:p>
    <w:p>
      <w:pPr>
        <w:pStyle w:val="Heading1"/>
      </w:pPr>
      <w:r>
        <w:t>目录</w:t>
      </w:r>
    </w:p>
    <w:p>
      <w:pPr>
        <w:pStyle w:val="ListNumber"/>
      </w:pPr>
      <w:r>
        <w:rPr>
          <w:b/>
        </w:rPr>
        <w:t>南非教师教育中生成式人工智能的去殖民化：为多语言、原住民与公共问责未来寻路</w:t>
      </w:r>
      <w:r>
        <w:t>｜New Zealand Journal of Educational Studies｜2026-10-23</w:t>
      </w:r>
    </w:p>
    <w:p>
      <w:pPr>
        <w:pStyle w:val="ListNumber"/>
      </w:pPr>
      <w:r>
        <w:rPr>
          <w:b/>
        </w:rPr>
        <w:t>宗教教育中的数字能力：基于LK20课程的挪威课堂实践混合方法视频研究</w:t>
      </w:r>
      <w:r>
        <w:t>｜British Journal of Religious Education｜2026-10-23</w:t>
      </w:r>
    </w:p>
    <w:p>
      <w:pPr>
        <w:pStyle w:val="ListNumber"/>
      </w:pPr>
      <w:r>
        <w:rPr>
          <w:b/>
        </w:rPr>
        <w:t>探究语言教育中人工智能能力与职业身份的关系：一项混合方法研究</w:t>
      </w:r>
      <w:r>
        <w:t>｜International Journal of Current Approaches in Language, Education and Social Sciences｜2026-10-25</w:t>
      </w:r>
    </w:p>
    <w:p>
      <w:pPr>
        <w:pStyle w:val="ListNumber"/>
      </w:pPr>
      <w:r>
        <w:rPr>
          <w:b/>
        </w:rPr>
        <w:t>探索人工智能（AI）在腐蚀相关任务中的应用：使用大语言模型（LLMs）分析有机涂层图像</w:t>
      </w:r>
      <w:r>
        <w:t>｜Corrosion Engineering, Science and Technology: The International Journal of Corrosion Processes and Corrosion Control｜2026-10-24</w:t>
      </w:r>
    </w:p>
    <w:p>
      <w:pPr>
        <w:pStyle w:val="ListNumber"/>
      </w:pPr>
      <w:r>
        <w:rPr>
          <w:b/>
        </w:rPr>
        <w:t>设计素养作为中介：AIGC辅助非物质文化遗产设计的实证研究</w:t>
      </w:r>
      <w:r>
        <w:t>｜The Design Journal｜2026-10-23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Decolonising Generative AI in South African Teacher Education: Wayfinding for Multilingual, Indigenous, and Publicly Accountable Futures / 南非教师教育中生成式人工智能的去殖民化：为多语言、原住民与公共问责未来寻路</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Decolonising Generative AI in South African Teacher Education: Wayfinding for Multilingual, Indigenous, and Publicly Accountable Futures / 南非教师教育中生成式人工智能的去殖民化：为多语言、原住民与公共问责未来寻路</w:t>
            </w:r>
          </w:p>
        </w:tc>
      </w:tr>
      <w:tr>
        <w:tc>
          <w:tcPr>
            <w:tcW w:type="dxa" w:w="4997"/>
          </w:tcPr>
          <w:p>
            <w:r>
              <w:rPr>
                <w:b/>
              </w:rPr>
              <w:t>作者</w:t>
            </w:r>
          </w:p>
        </w:tc>
        <w:tc>
          <w:tcPr>
            <w:tcW w:type="dxa" w:w="4997"/>
          </w:tcPr>
          <w:p>
            <w:r>
              <w:t>Benjamin Seleke</w:t>
            </w:r>
          </w:p>
        </w:tc>
      </w:tr>
      <w:tr>
        <w:tc>
          <w:tcPr>
            <w:tcW w:type="dxa" w:w="4997"/>
          </w:tcPr>
          <w:p>
            <w:r>
              <w:rPr>
                <w:b/>
              </w:rPr>
              <w:t>期刊及影响因子</w:t>
            </w:r>
          </w:p>
        </w:tc>
        <w:tc>
          <w:tcPr>
            <w:tcW w:type="dxa" w:w="4997"/>
          </w:tcPr>
          <w:p>
            <w:r>
              <w:t>SSCI分类：Education &amp; Educational Research；影响因子/分区：白名单未提供影响因子，白名单未提供JCR分区。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卷期：元数据未提供；DOI：https://doi.org/10.1007/s40841-026-00495-6</w:t>
            </w:r>
          </w:p>
        </w:tc>
      </w:tr>
      <w:tr>
        <w:tc>
          <w:tcPr>
            <w:tcW w:type="dxa" w:w="4997"/>
          </w:tcPr>
          <w:p>
            <w:r>
              <w:rPr>
                <w:b/>
              </w:rPr>
              <w:t>在线发表时间</w:t>
            </w:r>
          </w:p>
        </w:tc>
        <w:tc>
          <w:tcPr>
            <w:tcW w:type="dxa" w:w="4997"/>
          </w:tcPr>
          <w:p>
            <w:r>
              <w:t>2026-10-23（元数据标注为发表日期；是否在线首发摘要未说明）</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https://doi.org/10.1007/s40841-026-00495-6</w:t>
              </w:r>
            </w:hyperlink>
          </w:p>
        </w:tc>
      </w:tr>
    </w:tbl>
    <w:p>
      <w:pPr>
        <w:pStyle w:val="Heading3"/>
      </w:pPr>
      <w:r>
        <w:t>研究摘要</w:t>
      </w:r>
    </w:p>
    <w:p>
      <w:r>
        <w:t>这是一篇观点文章，主张南非教师教育需要一项明确的生成式人工智能去殖民议程，并与奥特亚罗瓦新西兰及更广泛国际学术展开批判性对话。文章认为，AI并非中立的效率工具；其基础设施、训练数据、评价标准与平台逻辑可能强化语言等级、数据提取、认识边缘化和教学标准化。文章以认识正义、去殖民性、定居者殖民分析与寻路为理论资源，综合政策与学术文献，构建面向多语言、原住民与公共问责的教师教育AI框架。南非与奥特亚罗瓦的比较被界定为关系性比较而非转移式比较；尽管殖民历史、宪制安排与原住民政治形态不同，怀唐伊条约启发的教育思考、毛利数据与算法主权以及太平洋地区主导的教师教育，可用来检验AI治理究竟重新分配权威，还是仅在外控系统中增加文化内容。文章提出六项相互依赖的主张：设计中的语言正义、原住民知识系统管理、面向教师能动性的批判性AI素养、围绕过程与判断的评估重塑、公共利益数据治理、基础设施敏感的包容。文章结论认为，去殖民化AI不是隐喻式品牌化，也不是把本地例子插入进口系统，而需要对课程目的、决策权、数据关系、评价标准与制度问责作出实质性改变。</w:t>
      </w:r>
    </w:p>
    <w:p>
      <w:pPr>
        <w:pStyle w:val="Heading3"/>
      </w:pPr>
      <w:r>
        <w:t>研究主要内容</w:t>
      </w:r>
    </w:p>
    <w:p>
      <w:r>
        <w:t>文章为观点性/概念性论文，核心内容是围绕南非教师教育中的生成式AI提出去殖民框架。作者将AI视为嵌入基础设施、数据关系、评价标准和平台权力的治理对象，而非中性教学工具；并以认识正义、去殖民性、定居者殖民分析和寻路为理论资源，综合政策与学术文献。文章以南非与奥特亚罗瓦新西兰及国际语境的关系性比较为方法，讨论怀唐伊条约启发的教育思考、毛利数据与算法主权、太平洋地区主导的教师教育如何检验AI治理中的权威分配。文章最终提出六项相互依赖的主张：语言正义 by design、原住民知识系统 stewardship、面向教师能动性的批判性AI素养、围绕过程与判断的评估重塑、公共利益数据治理、基础设施敏感的包容，并强调去殖民化AI需要课程目的、决策权、数据关系、评价标准和制度问责的实质改变。摘要未说明系统综述、实证数据收集或统计分析程序。</w:t>
      </w:r>
    </w:p>
    <w:p>
      <w:pPr>
        <w:pStyle w:val="Heading3"/>
      </w:pPr>
      <w:r>
        <w:t>研究论点</w:t>
      </w:r>
    </w:p>
    <w:p>
      <w:r>
        <w:t>文章的核心论证是：生成式AI不是中立的效率工具，其基础设施、训练数据、评价标准和平台逻辑可能加剧语言等级、数据提取、认识边缘化与教学标准化；因此南非教师教育需要一项去殖民的AI议程，以多语言、原住民知识系统和公共问责为方向，重新分配课程目的、决策权、数据关系、评价标准与制度责任，而不是仅把本地文化内容加入外部控制的系统。</w:t>
      </w:r>
    </w:p>
    <w:p>
      <w:pPr>
        <w:pStyle w:val="Heading3"/>
      </w:pPr>
      <w:r>
        <w:t>研究问题</w:t>
      </w:r>
    </w:p>
    <w:p>
      <w:r>
        <w:t>摘要未明确列出研究问题；文章围绕南非教师教育应如何构建去殖民的生成式AI议程，并在与奥特亚罗瓦新西兰及国际学术的批判性对话中，如何以多语言、原住民和公共问责为方向设计AI治理与教师教育框架展开论证。</w:t>
      </w:r>
    </w:p>
    <w:p>
      <w:pPr>
        <w:pStyle w:val="Heading3"/>
      </w:pPr>
      <w:r>
        <w:t>研究方法</w:t>
      </w:r>
    </w:p>
    <w:p>
      <w:r>
        <w:t>研究类型：观点文章/概念性论文，非定量、非定性、非混合实证研究。样本或参与者：无。数据来源：政策与学术文献的综合。分析方法：理论综合与关系性比较，即围绕认识正义、去殖民性、定居者殖民分析和寻路，在南非、奥特亚罗瓦新西兰及更广泛国际语境之间展开批判性对话并构建框架。摘要未说明系统综述、编码程序、实证数据收集或统计分析方法。</w:t>
      </w:r>
    </w:p>
    <w:p>
      <w:pPr>
        <w:pStyle w:val="Heading3"/>
      </w:pPr>
      <w:r>
        <w:t>主要发现</w:t>
      </w:r>
    </w:p>
    <w:p>
      <w:r>
        <w:t>作为观点文章，摘要未提供实证发现；其核心主张包括：1）AI并非中立效率工具，其基础设施、训练数据、评价标准和平台逻辑可能强化语言等级、数据提取、认识边缘化和教学标准化；2）南非与奥特亚罗瓦新西兰的比较应是关系性而非转移式的，怀唐伊条约启发的教育思考、毛利数据与算法主权、太平洋地区主导的教师教育可用于检验AI治理是否真正重新分配权威；3）文章提出六项相互依赖主张，即设计中的语言正义、原住民知识系统管理、面向教师能动性的批判性AI素养、围绕过程与判断的评估重塑、公共利益数据治理、基础设施敏感的包容，并强调去殖民化AI需要课程目的、决策权、数据关系、评价标准和制度问责的实质改变。</w:t>
      </w:r>
    </w:p>
    <w:p>
      <w:pPr>
        <w:pStyle w:val="Heading3"/>
      </w:pPr>
      <w:r>
        <w:t>对教师教育研究的启示</w:t>
      </w:r>
    </w:p>
    <w:p>
      <w:r>
        <w:t>对教师教育研究的启示：该文可作为AI与教师教育去殖民/认识正义议题的理论框架来源，提示研究者关注语言正义、原住民数据与算法主权、批判性AI素养、评估过程与教师判断、公共利益数据治理、基础设施不平等与社区权威等前沿主题。研究设计上，后续可采用比较政策分析、参与式行动研究、多案例研究、教师与社区共同设计等检验其六项主张；数据收集可关注政策文本、平台治理与数据条款、教师/社区访谈、课堂评估与语言实践记录；分析可结合批判政策分析、去殖民与认识正义框架及关系性比较。该文本身不提供实证工具或效果证据，适合用于议题生成、框架构建和后续实证研究设计。</w:t>
      </w:r>
    </w:p>
    <w:p>
      <w:pPr>
        <w:pStyle w:val="Heading3"/>
      </w:pPr>
      <w:r>
        <w:t>APA引用格式</w:t>
      </w:r>
    </w:p>
    <w:p>
      <w:r>
        <w:t>Seleke, B. (2026). Decolonising generative AI in South African teacher education: Wayfinding for multilingual, Indigenous, and publicly accountable futures. New Zealand Journal of Educational Studies. https://doi.org/10.1007/s40841-026-00495-6</w:t>
      </w:r>
    </w:p>
    <w:p>
      <w:r>
        <w:br w:type="page"/>
      </w:r>
    </w:p>
    <w:p>
      <w:pPr>
        <w:pStyle w:val="Heading2"/>
      </w:pPr>
      <w:r>
        <w:t>2. Digital competence in religious education: a mixed-methods video study of Norwegian classroom practices under the LK20 curriculum / 宗教教育中的数字能力：基于LK20课程的挪威课堂实践混合方法视频研究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Digital competence in religious education: a mixed-methods video study of Norwegian classroom practices under the LK20 curriculum / 宗教教育中的数字能力：基于LK20课程的挪威课堂实践混合方法视频研究</w:t>
            </w:r>
          </w:p>
        </w:tc>
      </w:tr>
      <w:tr>
        <w:tc>
          <w:tcPr>
            <w:tcW w:type="dxa" w:w="4997"/>
          </w:tcPr>
          <w:p>
            <w:r>
              <w:rPr>
                <w:b/>
              </w:rPr>
              <w:t>作者</w:t>
            </w:r>
          </w:p>
        </w:tc>
        <w:tc>
          <w:tcPr>
            <w:tcW w:type="dxa" w:w="4997"/>
          </w:tcPr>
          <w:p>
            <w:r>
              <w:t>Kirsten Marie Hartvigsen</w:t>
            </w:r>
          </w:p>
        </w:tc>
      </w:tr>
      <w:tr>
        <w:tc>
          <w:tcPr>
            <w:tcW w:type="dxa" w:w="4997"/>
          </w:tcPr>
          <w:p>
            <w:r>
              <w:rPr>
                <w:b/>
              </w:rPr>
              <w:t>期刊及影响因子</w:t>
            </w:r>
          </w:p>
        </w:tc>
        <w:tc>
          <w:tcPr>
            <w:tcW w:type="dxa" w:w="4997"/>
          </w:tcPr>
          <w:p>
            <w:r>
              <w:t>British Journal of Religious Education；SSCI，Education &amp; Educational Research；白名单未提供影响因子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卷期未说明；DOI: https://doi.org/10.1080/01416200.2026.2748533</w:t>
            </w:r>
          </w:p>
        </w:tc>
      </w:tr>
      <w:tr>
        <w:tc>
          <w:tcPr>
            <w:tcW w:type="dxa" w:w="4997"/>
          </w:tcPr>
          <w:p>
            <w:r>
              <w:rPr>
                <w:b/>
              </w:rPr>
              <w:t>在线发表时间</w:t>
            </w:r>
          </w:p>
        </w:tc>
        <w:tc>
          <w:tcPr>
            <w:tcW w:type="dxa" w:w="4997"/>
          </w:tcPr>
          <w:p>
            <w:r>
              <w:t>2026-10-23</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https://doi.org/10.1080/01416200.2026.2748533</w:t>
              </w:r>
            </w:hyperlink>
          </w:p>
        </w:tc>
      </w:tr>
    </w:tbl>
    <w:p>
      <w:pPr>
        <w:pStyle w:val="Heading3"/>
      </w:pPr>
      <w:r>
        <w:t>研究摘要</w:t>
      </w:r>
    </w:p>
    <w:p>
      <w:r>
        <w:t>该研究考察挪威13个宗教教育课堂中教师与学生如何实施数字能力。数据为2023—2024学年录制的55节课视频。研究采用混合方法：先用EDUCATE数字能力观察协议对全部录像进行量化评分，协议含“教学”“搜索与导航”“制作”“交流”“数字责任”五类，每类按1—4分计；分析15分钟课堂片段。随后选取5个高分片段进行质性分析并组织为两个案例。案例1为两节高中（18—19岁）课，数字作品制作得分高但数字责任得分低，涉及个人数据保护与偏见有限；案例2为初中（15—16岁）课，聚焦评估数字来源信息，数字责任得分最高。摘要称可通过二维码获取匿名化视频片段。</w:t>
      </w:r>
    </w:p>
    <w:p>
      <w:pPr>
        <w:pStyle w:val="Heading3"/>
      </w:pPr>
      <w:r>
        <w:t>研究主要内容</w:t>
      </w:r>
    </w:p>
    <w:p>
      <w:r>
        <w:t>论文聚焦挪威LK20课程背景下宗教教育课堂中的数字能力实施。研究对象为13个宗教教育课堂，数据包括2023—2024学年录制的55节课视频。量化部分使用EDUCATE数字能力观察协议，从“教学”“搜索与导航”“制作”“交流”“数字责任”五个类别对15分钟课堂片段进行1—4分评分。质性部分从高分片段中选取5个，组织为两个案例：案例1为两节高中（18—19岁）课，突出数字作品制作但数字责任较弱；案例2为一节初中（15—16岁）课，聚焦数字来源信息评估并获样本最高数字责任分。文章还提供二维码链接匿名化视频片段。该文主要涉及初中与高中阶段，并非学前教育或小学阶段研究。</w:t>
      </w:r>
    </w:p>
    <w:p>
      <w:pPr>
        <w:pStyle w:val="Heading3"/>
      </w:pPr>
      <w:r>
        <w:t>研究论点</w:t>
      </w:r>
    </w:p>
    <w:p>
      <w:r>
        <w:t>摘要未明确陈述文章的核心论证；从研究结果看，文章以课堂视频证据呈现数字能力在宗教教育课堂中的实施状况，强调教师示范/促进与学生实际使用之间的差异，并显示数字责任并不必然随数字技术使用而自然形成。</w:t>
      </w:r>
    </w:p>
    <w:p>
      <w:pPr>
        <w:pStyle w:val="Heading3"/>
      </w:pPr>
      <w:r>
        <w:t>研究问题</w:t>
      </w:r>
    </w:p>
    <w:p>
      <w:r>
        <w:t>摘要未明确列出研究问题；可识别的研究目的是考察教师和学生在挪威宗教教育课堂中如何实施数字能力（enacted digital competence）。</w:t>
      </w:r>
    </w:p>
    <w:p>
      <w:pPr>
        <w:pStyle w:val="Heading3"/>
      </w:pPr>
      <w:r>
        <w:t>研究方法</w:t>
      </w:r>
    </w:p>
    <w:p>
      <w:r>
        <w:t>研究类型：混合方法研究。样本/参与者：13个挪威宗教教育课堂中的教师与学生，具体教师和学生人数摘要未说明；共55节课。数据来源：2023—2024学年视频录制的课堂。分析方法：量化分析使用EDUCATE数字能力观察协议，对全部录像的15分钟片段按五类（教学、搜索与导航、制作、交流、数字责任）进行1—4分评分；质性分析选取5个高分片段，组织为两个案例进行分析。摘要未说明抽样细节、评分者信度、量化统计检验及质性编码程序。</w:t>
      </w:r>
    </w:p>
    <w:p>
      <w:pPr>
        <w:pStyle w:val="Heading3"/>
      </w:pPr>
      <w:r>
        <w:t>主要发现</w:t>
      </w:r>
    </w:p>
    <w:p>
      <w:r>
        <w:t>1. 教师经常演示或促进数字技术的多样化使用，并明确涉及数字责任。2. 学生主要将数字技术用于搜索、导航和制作，用于交流有限，对数字责任关注较少。3. 高分案例显示差异：高中（18—19岁）案例在数字作品制作上得分高但数字责任得分低，个人数据保护与偏见议题参与有限；初中（15—16岁）案例聚焦评估数字来源信息，数字责任得分在样本中最高。</w:t>
      </w:r>
    </w:p>
    <w:p>
      <w:pPr>
        <w:pStyle w:val="Heading3"/>
      </w:pPr>
      <w:r>
        <w:t>对教师教育研究的启示</w:t>
      </w:r>
    </w:p>
    <w:p>
      <w:r>
        <w:t>1. 研究设计启示：课堂视频结合观察协议评分与质性案例选取，可用于研究教师数字素养/数字能力在真实教学中的实施，而不仅依赖自报问卷。2. 教师培训内容启示：数字能力培训不应只关注搜索、制作等技术操作，还应显性纳入数字责任、个人数据保护、偏见识别和数字交流等维度。3. 数据收集与分析启示：教师教育研究可采用标准化观察协议进行量化扫描，再选取高分或关键片段做质性分析；但需补足评分者信度、编码程序和学生/教师背景信息。该文主要涉及初中与高中宗教教育课堂，对学前教育与小学阶段的直接推广需谨慎。</w:t>
      </w:r>
    </w:p>
    <w:p>
      <w:pPr>
        <w:pStyle w:val="Heading3"/>
      </w:pPr>
      <w:r>
        <w:t>APA引用格式</w:t>
      </w:r>
    </w:p>
    <w:p>
      <w:r>
        <w:t>Hartvigsen, K. M. (2026). Digital competence in religious education: A mixed-methods video study of Norwegian classroom practices under the LK20 curriculum. British Journal of Religious Education. https://doi.org/10.1080/01416200.2026.2748533</w:t>
      </w:r>
    </w:p>
    <w:p>
      <w:r>
        <w:br w:type="page"/>
      </w:r>
    </w:p>
    <w:p>
      <w:pPr>
        <w:pStyle w:val="Heading2"/>
      </w:pPr>
      <w:r>
        <w:t>3. Exploring the Relationship between AI Competency and Professional Identity in Language Education: A Mixed-methods Study / 探究语言教育中人工智能能力与职业身份的关系：一项混合方法研究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the Relationship between AI Competency and Professional Identity in Language Education: A Mixed-methods Study / 探究语言教育中人工智能能力与职业身份的关系：一项混合方法研究</w:t>
            </w:r>
          </w:p>
        </w:tc>
      </w:tr>
      <w:tr>
        <w:tc>
          <w:tcPr>
            <w:tcW w:type="dxa" w:w="4997"/>
          </w:tcPr>
          <w:p>
            <w:r>
              <w:rPr>
                <w:b/>
              </w:rPr>
              <w:t>作者</w:t>
            </w:r>
          </w:p>
        </w:tc>
        <w:tc>
          <w:tcPr>
            <w:tcW w:type="dxa" w:w="4997"/>
          </w:tcPr>
          <w:p>
            <w:r>
              <w:t>Faramarz Yaşar Abedi, Ahmet Kuzu</w:t>
            </w:r>
          </w:p>
        </w:tc>
      </w:tr>
      <w:tr>
        <w:tc>
          <w:tcPr>
            <w:tcW w:type="dxa" w:w="4997"/>
          </w:tcPr>
          <w:p>
            <w:r>
              <w:rPr>
                <w:b/>
              </w:rPr>
              <w:t>期刊及影响因子</w:t>
            </w:r>
          </w:p>
        </w:tc>
        <w:tc>
          <w:tcPr>
            <w:tcW w:type="dxa" w:w="4997"/>
          </w:tcPr>
          <w:p>
            <w:r>
              <w:t>SSCI分类：International Relations；白名单未提供影响因子；白名单未提供JCR分区。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卷期：白名单未提供；DOI：10.35452/caless.1941359</w:t>
            </w:r>
          </w:p>
        </w:tc>
      </w:tr>
      <w:tr>
        <w:tc>
          <w:tcPr>
            <w:tcW w:type="dxa" w:w="4997"/>
          </w:tcPr>
          <w:p>
            <w:r>
              <w:rPr>
                <w:b/>
              </w:rPr>
              <w:t>在线发表时间</w:t>
            </w:r>
          </w:p>
        </w:tc>
        <w:tc>
          <w:tcPr>
            <w:tcW w:type="dxa" w:w="4997"/>
          </w:tcPr>
          <w:p>
            <w:r>
              <w:t>2026-10-25</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https://doi.org/10.35452/caless.1941359</w:t>
              </w:r>
            </w:hyperlink>
          </w:p>
        </w:tc>
      </w:tr>
    </w:tbl>
    <w:p>
      <w:pPr>
        <w:pStyle w:val="Heading3"/>
      </w:pPr>
      <w:r>
        <w:t>研究摘要</w:t>
      </w:r>
    </w:p>
    <w:p>
      <w:r>
        <w:t>该研究基于社会文化理论与可能自我理论，采用收敛式混合方法，考察111名土耳其EFL教师的AI能力、教师特征与职业身份之间的关系。数据包括经验证的AI能力与职业身份量表，以及对12名参与者的半结构化访谈。定量分析显示AI能力显著预测职业身份（β=.295, p=.002），既往AI接触显著区分能力水平，年龄与教龄无显著影响；质性分析识别出强化、中立与质疑三种身份轨迹，并受信念、情绪、机构支持和教学经验影响。作者将三种轨迹映射到“期望的、预期的、恐惧的”职业自我表征维度，主张教师专业发展应超越技术培训，纳入引导性、反思性和情感联结的AI技能、教学价值与伦理意识探索。</w:t>
      </w:r>
    </w:p>
    <w:p>
      <w:pPr>
        <w:pStyle w:val="Heading3"/>
      </w:pPr>
      <w:r>
        <w:t>研究主要内容</w:t>
      </w:r>
    </w:p>
    <w:p>
      <w:r>
        <w:t>论文聚焦AI能力与语言教师职业身份的关系，以社会文化理论和可能自我理论为框架。研究采用收敛式混合方法：对111名土耳其EFL教师施测量表，并对12人进行半结构化访谈；定量检验AI能力及教师特征对职业身份的预测，质性归纳身份轨迹。结果支持AI能力对职业身份的显著预测，并揭示同等AI能力下身份反应的差异机制。研究提出将身份轨迹映射到希望、预期与恐惧的职业自我维度，强调AI教师专业发展需关注反思、情感与伦理。</w:t>
      </w:r>
    </w:p>
    <w:p>
      <w:pPr>
        <w:pStyle w:val="Heading3"/>
      </w:pPr>
      <w:r>
        <w:t>研究论点</w:t>
      </w:r>
    </w:p>
    <w:p>
      <w:r>
        <w:t>核心论点是：AI能力是语言教师职业身份的重要预测因素，但并非唯一决定因素；教师的信念、情绪、机构支持和教学经验会塑造不同的身份轨迹，因此仅靠技术培训不足以支持AI时代的教师身份建构，需要将AI技能与教学价值、伦理意识和反思性探索联结起来。</w:t>
      </w:r>
    </w:p>
    <w:p>
      <w:pPr>
        <w:pStyle w:val="Heading3"/>
      </w:pPr>
      <w:r>
        <w:t>研究问题</w:t>
      </w:r>
    </w:p>
    <w:p>
      <w:r>
        <w:t>研究问题可概括为：AI能力与教师特征如何关联语言教师的职业身份？具体包括AI能力能否显著预测职业身份、既往AI接触/年龄/教龄等特征是否造成差异，以及教师如何在不同信念、情绪、机构支持和教学经验下形成何种职业身份轨迹。摘要未以编号形式列出研究问题。</w:t>
      </w:r>
    </w:p>
    <w:p>
      <w:pPr>
        <w:pStyle w:val="Heading3"/>
      </w:pPr>
      <w:r>
        <w:t>研究方法</w:t>
      </w:r>
    </w:p>
    <w:p>
      <w:r>
        <w:t>研究类型：混合方法（收敛式混合设计）。样本：111名土耳其EFL教师/讲师，其中12人参与半结构化访谈。数据来源：经验证的AI能力量表与职业身份量表，以及半结构化访谈。分析方法：定量分析报告AI能力对职业身份的预测系数（β=.295, p=.002），但摘要未说明具体统计模型；质性部分识别三种身份轨迹，但摘要未说明具体质性分析程序。研究对象所处教育阶段（是否学前教育/基础教育）摘要未说明。</w:t>
      </w:r>
    </w:p>
    <w:p>
      <w:pPr>
        <w:pStyle w:val="Heading3"/>
      </w:pPr>
      <w:r>
        <w:t>主要发现</w:t>
      </w:r>
    </w:p>
    <w:p>
      <w:r>
        <w:t>1）AI能力显著预测职业身份（β=.295, p=.002）。2）既往AI接触显著区分AI能力水平，而年龄和教龄对相关结果无显著影响。3）质性访谈识别出强化、中立、质疑三种职业身份轨迹，受信念、情绪、机构支持和教学经验影响；作者进一步将其映射到“期望的、预期的、恐惧的”职业自我表征维度，用以解释同等AI能力者的身份反应差异。</w:t>
      </w:r>
    </w:p>
    <w:p>
      <w:pPr>
        <w:pStyle w:val="Heading3"/>
      </w:pPr>
      <w:r>
        <w:t>对教师教育研究的启示</w:t>
      </w:r>
    </w:p>
    <w:p>
      <w:r>
        <w:t>对教师教育研究的启示：1）主题上，可将“AI能力—教师职业身份”作为AI教学应用与教师数字/智能素养研究的前沿交叉点，尤其关注信念、情绪、机构支持等中介或情境因素。2）设计上，收敛式混合方法适合同时检验变量关系和解释身份轨迹：先用经验证量表测量AI能力与职业身份，再以半结构化访谈补充机制解释；可纳入既往AI接触、年龄、教龄等教师特征。3）数据收集与分析上，摘要提供了量表加访谈的组合，但未说明具体统计模型与质性分析程序，后续研究应明确回归/结构方程或主题分析等步骤。4）实践上，教师培训不应止于技术操作，应设计引导性、反思性、情感联结的活动，将AI技能与教学价值、伦理意识联系起来。5）若面向学前教育或基础教育，需在摘要未说明的阶段信息外，明确学校层级、园校支持条件与教师身份情境。</w:t>
      </w:r>
    </w:p>
    <w:p>
      <w:pPr>
        <w:pStyle w:val="Heading3"/>
      </w:pPr>
      <w:r>
        <w:t>APA引用格式</w:t>
      </w:r>
    </w:p>
    <w:p>
      <w:r>
        <w:t>Abedi, F. Y., &amp; Kuzu, A. (2026). Exploring the relationship between AI competency and professional identity in language education: A mixed-methods study. International Journal of Current Approaches in Language, Education and Social Sciences. https://doi.org/10.35452/caless.1941359</w:t>
      </w:r>
    </w:p>
    <w:p>
      <w:r>
        <w:br w:type="page"/>
      </w:r>
    </w:p>
    <w:p>
      <w:pPr>
        <w:pStyle w:val="Heading2"/>
      </w:pPr>
      <w:r>
        <w:t>4. Exploring the use of artificial intelligence (AI) for corrosion-related tasks: Using large language models (LLMs) to analyse organic coatings images / 探索人工智能（AI）在腐蚀相关任务中的应用：使用大语言模型（LLMs）分析有机涂层图像</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the use of artificial intelligence (AI) for corrosion-related tasks: Using large language models (LLMs) to analyse organic coatings images / 探索人工智能（AI）在腐蚀相关任务中的应用：使用大语言模型（LLMs）分析有机涂层图像</w:t>
            </w:r>
          </w:p>
        </w:tc>
      </w:tr>
      <w:tr>
        <w:tc>
          <w:tcPr>
            <w:tcW w:type="dxa" w:w="4997"/>
          </w:tcPr>
          <w:p>
            <w:r>
              <w:rPr>
                <w:b/>
              </w:rPr>
              <w:t>作者</w:t>
            </w:r>
          </w:p>
        </w:tc>
        <w:tc>
          <w:tcPr>
            <w:tcW w:type="dxa" w:w="4997"/>
          </w:tcPr>
          <w:p>
            <w:r>
              <w:t>Vincenzo Bongiorno, Michele Curioni, Niek Hijnen, X Zhou</w:t>
            </w:r>
          </w:p>
        </w:tc>
      </w:tr>
      <w:tr>
        <w:tc>
          <w:tcPr>
            <w:tcW w:type="dxa" w:w="4997"/>
          </w:tcPr>
          <w:p>
            <w:r>
              <w:rPr>
                <w:b/>
              </w:rPr>
              <w:t>期刊及影响因子</w:t>
            </w:r>
          </w:p>
        </w:tc>
        <w:tc>
          <w:tcPr>
            <w:tcW w:type="dxa" w:w="4997"/>
          </w:tcPr>
          <w:p>
            <w:r>
              <w:t>白名单未提供影响因子 / 白名单未提供JCR分区；期刊为 Corrosion Engineering, Science and Technology: The International Journal of Corrosion Processes and Corrosion Control，主题为腐蚀工程，与学前教育、基础教育及教师教育不相关。</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10.1177/1478422x261499611</w:t>
            </w:r>
          </w:p>
        </w:tc>
      </w:tr>
      <w:tr>
        <w:tc>
          <w:tcPr>
            <w:tcW w:type="dxa" w:w="4997"/>
          </w:tcPr>
          <w:p>
            <w:r>
              <w:rPr>
                <w:b/>
              </w:rPr>
              <w:t>在线发表时间</w:t>
            </w:r>
          </w:p>
        </w:tc>
        <w:tc>
          <w:tcPr>
            <w:tcW w:type="dxa" w:w="4997"/>
          </w:tcPr>
          <w:p>
            <w:r>
              <w:t>2026-10-24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https://doi.org/10.1177/1478422x261499611</w:t>
              </w:r>
            </w:hyperlink>
          </w:p>
        </w:tc>
      </w:tr>
    </w:tbl>
    <w:p>
      <w:pPr>
        <w:pStyle w:val="Heading3"/>
      </w:pPr>
      <w:r>
        <w:t>研究摘要</w:t>
      </w:r>
    </w:p>
    <w:p>
      <w:r>
        <w:t>该研究评估大语言模型（LLMs）在腐蚀相关任务中的适用性，并提出将LLMs与硬编码逻辑结合以提升可靠性和性能的方法。研究在三个任务上测试：将有机涂层图像分类为“起泡/不起泡”、按腐蚀严重程度对试样排序、以及将图像分类为不同严重程度等级。结果显示，LLMs的表现可与经过训练的机器学习模型相比，其中“起泡/不起泡”分类准确率最高达到0.93。作者认为，LLMs在与专家驱动策略结合后，可作为腐蚀评估中实用且可扩展的工具。</w:t>
      </w:r>
    </w:p>
    <w:p>
      <w:pPr>
        <w:pStyle w:val="Heading3"/>
      </w:pPr>
      <w:r>
        <w:t>研究主要内容</w:t>
      </w:r>
    </w:p>
    <w:p>
      <w:r>
        <w:t>论文关注LLMs作为传统机器学习替代方案的可行性。作者指出，LLMs的主要优势是不需要模型训练或数据预处理，而是通过自然语言指令进行引导。为增强可靠性，研究将LLMs与硬编码逻辑结合，并在三类腐蚀相关图像任务上进行测试：二分类（起泡/不起泡）、腐蚀严重程度排序、严重程度分级。结果报告LLMs性能与训练过的ML模型相当，二分类准确率最高为0.93。该文属于腐蚀工程与AI应用研究，不涉及学前教育、基础教育、教师数字素养或教师教育中的AI整合。</w:t>
      </w:r>
    </w:p>
    <w:p>
      <w:pPr>
        <w:pStyle w:val="Heading3"/>
      </w:pPr>
      <w:r>
        <w:t>研究论点</w:t>
      </w:r>
    </w:p>
    <w:p>
      <w:r>
        <w:t>作者的核心论点是：LLMs可作为传统机器学习的一种易用替代方案，尤其适合无需模型训练和数据预处理的图像分析任务；但若要将LLMs用于腐蚀评估等专业任务，需与硬编码逻辑或专家驱动策略结合，以提高可靠性和实际可用性。</w:t>
      </w:r>
    </w:p>
    <w:p>
      <w:pPr>
        <w:pStyle w:val="Heading3"/>
      </w:pPr>
      <w:r>
        <w:t>研究问题</w:t>
      </w:r>
    </w:p>
    <w:p>
      <w:r>
        <w:t>LLMs是否适合腐蚀相关任务？将LLMs与硬编码逻辑结合能否提升其可靠性和性能？在有机涂层图像“起泡/不起泡”分类、腐蚀严重程度排序和严重程度分级三类任务上，LLMs表现如何？</w:t>
      </w:r>
    </w:p>
    <w:p>
      <w:pPr>
        <w:pStyle w:val="Heading3"/>
      </w:pPr>
      <w:r>
        <w:t>研究方法</w:t>
      </w:r>
    </w:p>
    <w:p>
      <w:r>
        <w:t>研究类型：实证性方法开发与性能评估；摘要未明确标注为定量、定性或混合研究，但从任务设计和准确率报告看属于定量性能评估。样本或参与者：无人类参与者；研究对象为有机涂层图像，具体图像数量、来源、采集方式和训练/测试划分摘要未说明。数据来源：有机涂层图像。分析方法：通过自然语言指令引导LLMs完成三类任务，并将LLMs与硬编码逻辑结合；将结果与经过训练的机器学习模型进行比较，报告分类准确率（最高0.93）。摘要未说明统计检验、提示词设计细节、重复实验次数、基线模型具体配置及误差分析。</w:t>
      </w:r>
    </w:p>
    <w:p>
      <w:pPr>
        <w:pStyle w:val="Heading3"/>
      </w:pPr>
      <w:r>
        <w:t>主要发现</w:t>
      </w:r>
    </w:p>
    <w:p>
      <w:r>
        <w:t>1）LLMs无需模型训练或数据预处理，可通过自然语言指令执行腐蚀相关图像任务，并可结合硬编码逻辑提升可靠性。2）在三类任务中，LLMs表现与训练过的机器学习模型相当；其中“起泡/不起泡”图像分类准确率最高达到0.93。3）作者认为，LLMs与专家驱动策略结合后，可作为腐蚀评估中实用且可扩展的工具；但摘要未报告排序和严重程度分级任务的具体量化结果。</w:t>
      </w:r>
    </w:p>
    <w:p>
      <w:pPr>
        <w:pStyle w:val="Heading3"/>
      </w:pPr>
      <w:r>
        <w:t>对教师教育研究的启示</w:t>
      </w:r>
    </w:p>
    <w:p>
      <w:r>
        <w:t>本研究不属于学前教育、基础教育或教师教育研究，摘要未说明对教师教育研究的启示，无法据此得出AI教学应用、教师数字素养/智能素养/数据素养或教师培训中AI整合的结论。若仅从研究方法角度谨慎借鉴，该文提示可对LLM在特定专业任务中的表现进行任务化、对比式评估，并考虑将LLM与规则或专家逻辑结合；但用于教育场景时需另行设计教育样本、基线模型、效度检验、伦理审查和教师参与机制。</w:t>
      </w:r>
    </w:p>
    <w:p>
      <w:pPr>
        <w:pStyle w:val="Heading3"/>
      </w:pPr>
      <w:r>
        <w:t>APA引用格式</w:t>
      </w:r>
    </w:p>
    <w:p>
      <w:r>
        <w:t>Bongiorno, V., Curioni, M., Hijnen, N., &amp; Zhou, X. (2026). Exploring the use of artificial intelligence (AI) for corrosion-related tasks: Using large language models (LLMs) to analyse organic coatings images. Corrosion Engineering, Science and Technology: The International Journal of Corrosion Processes and Corrosion Control. https://doi.org/10.1177/1478422x261499611</w:t>
      </w:r>
    </w:p>
    <w:p>
      <w:r>
        <w:br w:type="page"/>
      </w:r>
    </w:p>
    <w:p>
      <w:pPr>
        <w:pStyle w:val="Heading2"/>
      </w:pPr>
      <w:r>
        <w:t>5. Design literacy as an mediator: An empirical study on AIGC-assisted intangible cultural heritage design / 设计素养作为中介：AIGC辅助非物质文化遗产设计的实证研究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Design literacy as an mediator: An empirical study on AIGC-assisted intangible cultural heritage design / 设计素养作为中介：AIGC辅助非物质文化遗产设计的实证研究</w:t>
            </w:r>
          </w:p>
        </w:tc>
      </w:tr>
      <w:tr>
        <w:tc>
          <w:tcPr>
            <w:tcW w:type="dxa" w:w="4997"/>
          </w:tcPr>
          <w:p>
            <w:r>
              <w:rPr>
                <w:b/>
              </w:rPr>
              <w:t>作者</w:t>
            </w:r>
          </w:p>
        </w:tc>
        <w:tc>
          <w:tcPr>
            <w:tcW w:type="dxa" w:w="4997"/>
          </w:tcPr>
          <w:p>
            <w:r>
              <w:t>Wangming Hu、Gulong Wang、Tao Peng</w:t>
            </w:r>
          </w:p>
        </w:tc>
      </w:tr>
      <w:tr>
        <w:tc>
          <w:tcPr>
            <w:tcW w:type="dxa" w:w="4997"/>
          </w:tcPr>
          <w:p>
            <w:r>
              <w:rPr>
                <w:b/>
              </w:rPr>
              <w:t>期刊及影响因子</w:t>
            </w:r>
          </w:p>
        </w:tc>
        <w:tc>
          <w:tcPr>
            <w:tcW w:type="dxa" w:w="4997"/>
          </w:tcPr>
          <w:p>
            <w:r>
              <w:t>期刊：The Design Journal；SSCI分类：Environmental &amp; Occupational Health, Public；白名单未提供影响因子；白名单未提供JCR分区。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卷期：元数据未提供；DOI：https://doi.org/10.1080/14606925.2026.2748485</w:t>
            </w:r>
          </w:p>
        </w:tc>
      </w:tr>
      <w:tr>
        <w:tc>
          <w:tcPr>
            <w:tcW w:type="dxa" w:w="4997"/>
          </w:tcPr>
          <w:p>
            <w:r>
              <w:rPr>
                <w:b/>
              </w:rPr>
              <w:t>在线发表时间</w:t>
            </w:r>
          </w:p>
        </w:tc>
        <w:tc>
          <w:tcPr>
            <w:tcW w:type="dxa" w:w="4997"/>
          </w:tcPr>
          <w:p>
            <w:r>
              <w:t>2026-10-23</w:t>
            </w:r>
          </w:p>
        </w:tc>
      </w:tr>
      <w:tr>
        <w:tc>
          <w:tcPr>
            <w:tcW w:type="dxa" w:w="4997"/>
          </w:tcPr>
          <w:p>
            <w:r>
              <w:rPr>
                <w:b/>
              </w:rPr>
              <w:t>SSCI分类</w:t>
            </w:r>
          </w:p>
        </w:tc>
        <w:tc>
          <w:tcPr>
            <w:tcW w:type="dxa" w:w="4997"/>
          </w:tcPr>
          <w:p>
            <w:r>
              <w:t>Environmental &amp; Occupational Health；Public</w:t>
            </w:r>
          </w:p>
        </w:tc>
      </w:tr>
      <w:tr>
        <w:tc>
          <w:tcPr>
            <w:tcW w:type="dxa" w:w="4997"/>
          </w:tcPr>
          <w:p>
            <w:r>
              <w:rPr>
                <w:b/>
              </w:rPr>
              <w:t>论文链接</w:t>
            </w:r>
          </w:p>
        </w:tc>
        <w:tc>
          <w:tcPr>
            <w:tcW w:type="dxa" w:w="4997"/>
          </w:tcPr>
          <w:p>
            <w:hyperlink r:id="rId13">
              <w:r>
                <w:rPr>
                  <w:color w:val="0563C1"/>
                  <w:u w:val="single"/>
                </w:rPr>
                <w:t>https://doi.org/10.1080/14606925.2026.2748485</w:t>
              </w:r>
            </w:hyperlink>
          </w:p>
        </w:tc>
      </w:tr>
    </w:tbl>
    <w:p>
      <w:pPr>
        <w:pStyle w:val="Heading3"/>
      </w:pPr>
      <w:r>
        <w:t>研究摘要</w:t>
      </w:r>
    </w:p>
    <w:p>
      <w:r>
        <w:t>该文采用混合方法研究AIGC在非物质文化遗产设计中的应用，以泉州花灯为案例，开展为期17周、涉及105名本科生的教学实验，并开发AIGC辅助非遗设计的结构化评价框架。研究发现，AIGC能够显著增强创意表达，尤其在设计素养较强时更为明显；设计素养可能在AIGC辅助文化创意过程中具有重要解释作用。比较分析显示，设计专业学生更倾向于使用AIGC进行文化语义组织与设计迭代，而非设计专业学生更关注视觉形式的新颖性，作品在文化表达深度上相对有限。</w:t>
      </w:r>
    </w:p>
    <w:p>
      <w:pPr>
        <w:pStyle w:val="Heading3"/>
      </w:pPr>
      <w:r>
        <w:t>研究主要内容</w:t>
      </w:r>
    </w:p>
    <w:p>
      <w:r>
        <w:t>论文聚焦AIGC辅助非物质文化遗产设计，以泉州花灯为案例，通过17周教学实验和混合方法，开发AIGC辅助非遗设计的结构化评价框架，并比较设计专业与非设计专业本科生在文化语义组织、设计迭代和视觉形式新颖性上的差异。研究对象为本科生，摘要未说明涉及学前教育或基础教育阶段。</w:t>
      </w:r>
    </w:p>
    <w:p>
      <w:pPr>
        <w:pStyle w:val="Heading3"/>
      </w:pPr>
      <w:r>
        <w:t>研究论点</w:t>
      </w:r>
    </w:p>
    <w:p>
      <w:r>
        <w:t>核心论证是：AIGC能够增强创意表达，但其在文化嵌入设计任务中的效果并非仅由技术决定；设计素养可能是解释用户如何组织文化语义、进行设计迭代和评价作品的重要中介或解释变量，教育背景差异会影响AIGC使用取向与文化表达深度。</w:t>
      </w:r>
    </w:p>
    <w:p>
      <w:pPr>
        <w:pStyle w:val="Heading3"/>
      </w:pPr>
      <w:r>
        <w:t>研究问题</w:t>
      </w:r>
    </w:p>
    <w:p>
      <w:r>
        <w:t>摘要未明确列出研究问题。可辨识的研究关注点包括：用户的设计素养与教育背景如何影响其在文化嵌入设计任务中使用AIGC；AIGC辅助非遗设计的效果如何；设计专业与非设计专业学生在AIGC辅助文化创意中的使用模式与作品表现有何差异。</w:t>
      </w:r>
    </w:p>
    <w:p>
      <w:pPr>
        <w:pStyle w:val="Heading3"/>
      </w:pPr>
      <w:r>
        <w:t>研究方法</w:t>
      </w:r>
    </w:p>
    <w:p>
      <w:r>
        <w:t>研究类型：混合方法研究。样本或参与者：105名本科生；开展17周教学实验；案例为泉州花灯这一非物质文化遗产。数据来源：教学实验过程与结构化评价框架，摘要未说明是否包含问卷、访谈、作品评分或平台日志等具体数据。分析方法：摘要仅提及开发结构化评价框架与比较分析，未说明具体量化统计方法、质性编码方法或混合方法整合策略。研究阶段：高等教育设计教育，非学前教育或基础教育。</w:t>
      </w:r>
    </w:p>
    <w:p>
      <w:pPr>
        <w:pStyle w:val="Heading3"/>
      </w:pPr>
      <w:r>
        <w:t>主要发现</w:t>
      </w:r>
    </w:p>
    <w:p>
      <w:r>
        <w:t>1）AIGC能够显著增强创意表达，尤其在设计素养较强时更为明显。2）设计素养可能在AIGC辅助文化创意过程中具有显著解释作用。3）设计专业学生更倾向于使用AIGC进行文化语义组织与设计迭代，而非设计专业学生更关注视觉形式的新颖性，作品在文化表达深度上相对有限。</w:t>
      </w:r>
    </w:p>
    <w:p>
      <w:pPr>
        <w:pStyle w:val="Heading3"/>
      </w:pPr>
      <w:r>
        <w:t>对教师教育研究的启示</w:t>
      </w:r>
    </w:p>
    <w:p>
      <w:r>
        <w:t>前沿主题方面，该文提示教师教育研究可关注AIGC支持下的文化转译、设计素养中介作用、文化语义组织与设计迭代，以及不同专业背景学习者的差异化使用模式。研究设计方面，可借鉴17周教学实验、混合方法、结构化评价框架和专业分组比较，但原文未说明具体测量工具与统计/质性分析细节，后续研究需补齐前后测、量表、访谈、过程日志和评分者一致性等证据。对教师教育的启示是：AI整合培训不应只停留在工具操作，而应培养教师和学习者的设计素养、文化理解与迭代能力，并按专业背景分层支持；若迁移至学前或基础教育，需重新设计适龄任务与伦理框架，不能直接外推本科生样本结果。</w:t>
      </w:r>
    </w:p>
    <w:p>
      <w:pPr>
        <w:pStyle w:val="Heading3"/>
      </w:pPr>
      <w:r>
        <w:t>APA引用格式</w:t>
      </w:r>
    </w:p>
    <w:p>
      <w:r>
        <w:t>Hu, W., Wang, G., &amp; Peng, T. (2026). Design literacy as an mediator: An empirical study on AIGC-assisted intangible cultural heritage design. The Design Journal. https://doi.org/10.1080/14606925.2026.2748485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106.10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40841-026-00495-6" TargetMode="External"/><Relationship Id="rId10" Type="http://schemas.openxmlformats.org/officeDocument/2006/relationships/hyperlink" Target="https://doi.org/10.1080/01416200.2026.2748533" TargetMode="External"/><Relationship Id="rId11" Type="http://schemas.openxmlformats.org/officeDocument/2006/relationships/hyperlink" Target="https://doi.org/10.35452/caless.1941359" TargetMode="External"/><Relationship Id="rId12" Type="http://schemas.openxmlformats.org/officeDocument/2006/relationships/hyperlink" Target="https://doi.org/10.1177/1478422x261499611" TargetMode="External"/><Relationship Id="rId13" Type="http://schemas.openxmlformats.org/officeDocument/2006/relationships/hyperlink" Target="https://doi.org/10.1080/14606925.2026.27484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