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每日SSCI文献简报｜2026-08-18</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2026-08-18 08:33:00（北京时间）</w:t>
            </w:r>
          </w:p>
        </w:tc>
      </w:tr>
      <w:tr>
        <w:tc>
          <w:tcPr>
            <w:tcW w:type="dxa" w:w="4997"/>
          </w:tcPr>
          <w:p>
            <w:r>
              <w:rPr>
                <w:b/>
              </w:rPr>
              <w:t>检索窗口</w:t>
            </w:r>
          </w:p>
        </w:tc>
        <w:tc>
          <w:tcPr>
            <w:tcW w:type="dxa" w:w="4997"/>
          </w:tcPr>
          <w:p>
            <w:r>
              <w:t>2023-08-19 — 2026-08-18</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聚焦教育技术应用，涵盖AI辅助评价、ICT促进女童学习、翻转课堂及情感感知在线学习。研究方法多元，以质性、量化与混合实证为主，重视本土情境。尤以金砖国家新闻教育AI课程建设最贴近中国语境，凸显教育数字化转型与AI赋能课程改革的前沿趋势。</w:t>
      </w:r>
    </w:p>
    <w:p>
      <w:pPr>
        <w:pStyle w:val="Heading1"/>
      </w:pPr>
      <w:r>
        <w:t>目录</w:t>
      </w:r>
    </w:p>
    <w:p>
      <w:pPr>
        <w:pStyle w:val="ListNumber"/>
      </w:pPr>
      <w:r>
        <w:rPr>
          <w:b/>
        </w:rPr>
        <w:t>利用人工智能增强巴耶尔萨州中学形成性评价：质性研究</w:t>
      </w:r>
      <w:r>
        <w:t>｜INTERNATIONAL JOURNAL OF EDUCATION AND EVALUATION｜2026-08-17</w:t>
      </w:r>
    </w:p>
    <w:p>
      <w:pPr>
        <w:pStyle w:val="ListNumber"/>
      </w:pPr>
      <w:r>
        <w:rPr>
          <w:b/>
        </w:rPr>
        <w:t>分析ICT教育对尼日利亚东北部女童学业成绩与学习兴趣的影响</w:t>
      </w:r>
      <w:r>
        <w:t>｜INTERNATIONAL JOURNAL OF EDUCATION AND EVALUATION｜2026-08-17</w:t>
      </w:r>
    </w:p>
    <w:p>
      <w:pPr>
        <w:pStyle w:val="ListNumber"/>
      </w:pPr>
      <w:r>
        <w:rPr>
          <w:b/>
        </w:rPr>
        <w:t>寓教于乐式翻转课堂模式对职前小学教师算术能力的影响</w:t>
      </w:r>
      <w:r>
        <w:t>｜Journal of Applied Research in Higher Education｜2026-08-18</w:t>
      </w:r>
    </w:p>
    <w:p>
      <w:pPr>
        <w:pStyle w:val="ListNumber"/>
      </w:pPr>
      <w:r>
        <w:rPr>
          <w:b/>
        </w:rPr>
        <w:t>通过面部表情分析迈向情感感知的在线学习</w:t>
      </w:r>
      <w:r>
        <w:t>｜International Journal of Intelligent Computing and Cybernetics｜2026-08-18</w:t>
      </w:r>
    </w:p>
    <w:p>
      <w:pPr>
        <w:pStyle w:val="ListNumber"/>
      </w:pPr>
      <w:r>
        <w:rPr>
          <w:b/>
        </w:rPr>
        <w:t>新闻教育中的人工智能：金砖国家大学新闻学课程开发与实施</w:t>
      </w:r>
      <w:r>
        <w:t>｜Media and Communication｜2026-08-17</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Leveraging Artificial Intelligence for Enhancing Formative Evaluation in Bayelsa State Secondary Schools: Qualitative Approach / 利用人工智能增强巴耶尔萨州中学形成性评价：质性研究</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Leveraging Artificial Intelligence for Enhancing Formative Evaluation in Bayelsa State Secondary Schools: Qualitative Approach / 利用人工智能增强巴耶尔萨州中学形成性评价：质性研究</w:t>
            </w:r>
          </w:p>
        </w:tc>
      </w:tr>
      <w:tr>
        <w:tc>
          <w:tcPr>
            <w:tcW w:type="dxa" w:w="4997"/>
          </w:tcPr>
          <w:p>
            <w:r>
              <w:rPr>
                <w:b/>
              </w:rPr>
              <w:t>作者</w:t>
            </w:r>
          </w:p>
        </w:tc>
        <w:tc>
          <w:tcPr>
            <w:tcW w:type="dxa" w:w="4997"/>
          </w:tcPr>
          <w:p>
            <w:r>
              <w:t>Prof. Offor Ibebietei Temple（作者单位等元数据未说明）</w:t>
            </w:r>
          </w:p>
        </w:tc>
      </w:tr>
      <w:tr>
        <w:tc>
          <w:tcPr>
            <w:tcW w:type="dxa" w:w="4997"/>
          </w:tcPr>
          <w:p>
            <w:r>
              <w:rPr>
                <w:b/>
              </w:rPr>
              <w:t>期刊及影响因子</w:t>
            </w:r>
          </w:p>
        </w:tc>
        <w:tc>
          <w:tcPr>
            <w:tcW w:type="dxa" w:w="4997"/>
          </w:tcPr>
          <w:p>
            <w:r>
              <w:t>SSCI分类：Interdisciplinary, Social Sciences；白名单未提供影响因子；白名单未提供JCR分区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INC</w:t>
            </w:r>
          </w:p>
        </w:tc>
      </w:tr>
      <w:tr>
        <w:tc>
          <w:tcPr>
            <w:tcW w:type="dxa" w:w="4997"/>
          </w:tcPr>
          <w:p>
            <w:r>
              <w:rPr>
                <w:b/>
              </w:rPr>
              <w:t>卷期/DOI</w:t>
            </w:r>
          </w:p>
        </w:tc>
        <w:tc>
          <w:tcPr>
            <w:tcW w:type="dxa" w:w="4997"/>
          </w:tcPr>
          <w:p>
            <w:r>
              <w:t>12(2), 666-674; DOI: 10.56201/ijee.v12.no.2.2026.pg666.674</w:t>
            </w:r>
          </w:p>
        </w:tc>
      </w:tr>
      <w:tr>
        <w:tc>
          <w:tcPr>
            <w:tcW w:type="dxa" w:w="4997"/>
          </w:tcPr>
          <w:p>
            <w:r>
              <w:rPr>
                <w:b/>
              </w:rPr>
              <w:t>在线发表时间</w:t>
            </w:r>
          </w:p>
        </w:tc>
        <w:tc>
          <w:tcPr>
            <w:tcW w:type="dxa" w:w="4997"/>
          </w:tcPr>
          <w:p>
            <w:r>
              <w:t>2026-08-17</w:t>
            </w:r>
          </w:p>
        </w:tc>
      </w:tr>
      <w:tr>
        <w:tc>
          <w:tcPr>
            <w:tcW w:type="dxa" w:w="4997"/>
          </w:tcPr>
          <w:p>
            <w:r>
              <w:rPr>
                <w:b/>
              </w:rPr>
              <w:t>SSCI分类</w:t>
            </w:r>
          </w:p>
        </w:tc>
        <w:tc>
          <w:tcPr>
            <w:tcW w:type="dxa" w:w="4997"/>
          </w:tcPr>
          <w:p>
            <w:r>
              <w:t>Interdisciplinary；Social Sciences</w:t>
            </w:r>
          </w:p>
        </w:tc>
      </w:tr>
      <w:tr>
        <w:tc>
          <w:tcPr>
            <w:tcW w:type="dxa" w:w="4997"/>
          </w:tcPr>
          <w:p>
            <w:r>
              <w:rPr>
                <w:b/>
              </w:rPr>
              <w:t>论文链接</w:t>
            </w:r>
          </w:p>
        </w:tc>
        <w:tc>
          <w:tcPr>
            <w:tcW w:type="dxa" w:w="4997"/>
          </w:tcPr>
          <w:p>
            <w:hyperlink r:id="rId9">
              <w:r>
                <w:rPr>
                  <w:color w:val="0563C1"/>
                  <w:u w:val="single"/>
                </w:rPr>
                <w:t>https://doi.org/10.56201/ijee.v12.no.2.2026.pg666.674</w:t>
              </w:r>
            </w:hyperlink>
          </w:p>
        </w:tc>
      </w:tr>
    </w:tbl>
    <w:p>
      <w:pPr>
        <w:pStyle w:val="Heading3"/>
      </w:pPr>
      <w:r>
        <w:t>研究摘要</w:t>
      </w:r>
    </w:p>
    <w:p>
      <w:r>
        <w:t>本研究考察了人工智能（AI）在尼日利亚巴耶尔萨州中学形成性评价中的作用，重点探讨其在个性化反馈、支持实时评估与进度追踪、识别学生学习差距方面的应用。研究采用质性研究设计，通过焦点小组讨论收集数据，参与者共73人，包括教师、学校管理者和教育政策制定者。数据使用NVivo软件进行主题分析，以识别模式和主题。研究发现，AI通过提高反馈的速度、准确性和个性化程度，以及加强对学生学业进展的实时监测和早期识别学习差距，显著增强了形成性评价。然而，研究也发现，中学采用AI受到基础设施不足、实施成本高、教师ICT能力有限以及数据隐私和算法偏见等伦理问题的制约。研究结论认为，尽管人工智能有巨大潜力变革形成性评价实践并改善学生学习成果，但其有效整合取决于充足的基础设施、教师能力发展以及指导伦理使用的强有力政策框架。研究建议政府增加对ICT基础设施的投资、持续开展教师AI工具培训，并制定清晰的AI教育应用伦理指南。</w:t>
      </w:r>
    </w:p>
    <w:p>
      <w:pPr>
        <w:pStyle w:val="Heading3"/>
      </w:pPr>
      <w:r>
        <w:t>研究主要内容</w:t>
      </w:r>
    </w:p>
    <w:p>
      <w:r>
        <w:t>该研究聚焦AI在中小学形成性评价中的三类关键应用：个性化反馈、实时评估与进度追踪、学习差距识别。研究采用焦点小组讨论收集来自教师、学校管理者和教育政策制定者的观点，并借助NVivo进行主题分析。结果显示，AI能够提升形成性评价的效率和精准性，但也面临基础设施、成本、教师能力和伦理等多重障碍。作者据此提出加强政府投资、教师培训和伦理规范建设等建议。</w:t>
      </w:r>
    </w:p>
    <w:p>
      <w:pPr>
        <w:pStyle w:val="Heading3"/>
      </w:pPr>
      <w:r>
        <w:t>研究论点</w:t>
      </w:r>
    </w:p>
    <w:p>
      <w:r>
        <w:t>核心论断：AI有潜力深刻变革形成性评价实践并提升学生学业结果，但其有效整合不能脱离基础设施、教师能力发展和伦理政策框架的支撑。</w:t>
      </w:r>
    </w:p>
    <w:p>
      <w:pPr>
        <w:pStyle w:val="Heading3"/>
      </w:pPr>
      <w:r>
        <w:t>研究问题</w:t>
      </w:r>
    </w:p>
    <w:p>
      <w:r>
        <w:t>摘要未明确列出研究问题；根据研究目的可归纳为：AI如何在巴耶尔萨州中学形成性评价中发挥作用？具体包括：AI如何用于个性化反馈、实时评估与进度追踪以及学习差距识别？其促进与制约因素是什么？</w:t>
      </w:r>
    </w:p>
    <w:p>
      <w:pPr>
        <w:pStyle w:val="Heading3"/>
      </w:pPr>
      <w:r>
        <w:t>研究方法</w:t>
      </w:r>
    </w:p>
    <w:p>
      <w:r>
        <w:t>研究类型：定性研究（质性研究）。样本/参与者：73名参与者，包括教师、学校管理者、教育政策制定者；摘要未说明具体抽样方法、分组方式及各类型参与者人数。数据来源：焦点小组讨论。分析方法：主题分析法，使用NVivo软件进行数据编码和主题提取。摘要未说明数据收集流程、焦点小组数量、时长、伦理审批等信息。</w:t>
      </w:r>
    </w:p>
    <w:p>
      <w:pPr>
        <w:pStyle w:val="Heading3"/>
      </w:pPr>
      <w:r>
        <w:t>主要发现</w:t>
      </w:r>
    </w:p>
    <w:p>
      <w:r>
        <w:t>1. AI在形成性评价中显著提升了反馈的速度、准确性和个性化程度，并加强了教师对学生学业进展的实时监控。</w:t>
      </w:r>
    </w:p>
    <w:p>
      <w:r>
        <w:t>2. AI有助于早期识别学生的学习差距，从而支持及时干预和个性化教学。</w:t>
      </w:r>
    </w:p>
    <w:p>
      <w:r>
        <w:t>3. 中学采用AI面临多重制约：基础设施不足、实施成本高、教师ICT能力有限，以及数据隐私和算法偏见等伦理问题；研究建议加强政府ICT投资、持续教师培训并制定伦理指南。</w:t>
      </w:r>
    </w:p>
    <w:p>
      <w:pPr>
        <w:pStyle w:val="Heading3"/>
      </w:pPr>
      <w:r>
        <w:t>对教师教育研究的启示</w:t>
      </w:r>
    </w:p>
    <w:p>
      <w:r>
        <w:t>1. 教师教育需将AI工具的应用能力纳入职前与在职培训，重点提升教师的ICT能力、数据素养和算法伦理意识。</w:t>
      </w:r>
    </w:p>
    <w:p>
      <w:r>
        <w:t>2. 该研究为教师教育研究提供了质性研究设计范例：可通过焦点小组访谈不同角色（教师、管理者、政策制定者），使用NVivo主题分析揭示AI整合于教学评价的实践样态与障碍。</w:t>
      </w:r>
    </w:p>
    <w:p>
      <w:r>
        <w:t>3. 未来研究可在此基础上设计教师培训干预实验或混合方法研究，考察教师数字素养提升对AI使用效果和学生评价质量的影响；同时应关注数据隐私、算法偏见等伦理议题，并在论文中补充抽样和数据分析细节以提高可重复性。</w:t>
      </w:r>
    </w:p>
    <w:p>
      <w:pPr>
        <w:pStyle w:val="Heading3"/>
      </w:pPr>
      <w:r>
        <w:t>APA引用格式</w:t>
      </w:r>
    </w:p>
    <w:p>
      <w:r>
        <w:t>Temple, O. I. (2026). Leveraging artificial intelligence for enhancing formative evaluation in Bayelsa State secondary schools: Qualitative approach. International Journal of Education and Evaluation, 12(2), 666-674. https://doi.org/10.56201/ijee.v12.no.2.2026.pg666.674</w:t>
      </w:r>
    </w:p>
    <w:p>
      <w:r>
        <w:br w:type="page"/>
      </w:r>
    </w:p>
    <w:p>
      <w:pPr>
        <w:pStyle w:val="Heading2"/>
      </w:pPr>
      <w:r>
        <w:t>2. Analyzing the Influence of ICT Education on Academic Performance and Learning Interest of The Girl Child in Northeast, Nigeria / 分析ICT教育对尼日利亚东北部女童学业成绩与学习兴趣的影响</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Analyzing the Influence of ICT Education on Academic Performance and Learning Interest of The Girl Child in Northeast, Nigeria / 分析ICT教育对尼日利亚东北部女童学业成绩与学习兴趣的影响</w:t>
            </w:r>
          </w:p>
        </w:tc>
      </w:tr>
      <w:tr>
        <w:tc>
          <w:tcPr>
            <w:tcW w:type="dxa" w:w="4997"/>
          </w:tcPr>
          <w:p>
            <w:r>
              <w:rPr>
                <w:b/>
              </w:rPr>
              <w:t>作者</w:t>
            </w:r>
          </w:p>
        </w:tc>
        <w:tc>
          <w:tcPr>
            <w:tcW w:type="dxa" w:w="4997"/>
          </w:tcPr>
          <w:p>
            <w:r>
              <w:t>Mshelia Hyelhara Umaru</w:t>
            </w:r>
          </w:p>
        </w:tc>
      </w:tr>
      <w:tr>
        <w:tc>
          <w:tcPr>
            <w:tcW w:type="dxa" w:w="4997"/>
          </w:tcPr>
          <w:p>
            <w:r>
              <w:rPr>
                <w:b/>
              </w:rPr>
              <w:t>期刊及影响因子</w:t>
            </w:r>
          </w:p>
        </w:tc>
        <w:tc>
          <w:tcPr>
            <w:tcW w:type="dxa" w:w="4997"/>
          </w:tcPr>
          <w:p>
            <w:r>
              <w:t>白名单未提供影响因子；白名单未提供JCR分区（SSCI学科分类：Interdisciplinary, Social Sciences）</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INC</w:t>
            </w:r>
          </w:p>
        </w:tc>
      </w:tr>
      <w:tr>
        <w:tc>
          <w:tcPr>
            <w:tcW w:type="dxa" w:w="4997"/>
          </w:tcPr>
          <w:p>
            <w:r>
              <w:rPr>
                <w:b/>
              </w:rPr>
              <w:t>卷期/DOI</w:t>
            </w:r>
          </w:p>
        </w:tc>
        <w:tc>
          <w:tcPr>
            <w:tcW w:type="dxa" w:w="4997"/>
          </w:tcPr>
          <w:p>
            <w:r>
              <w:t>12(2), 697-705; DOI: 10.56201/ijee.v12.no.2.2026.pg697.705</w:t>
            </w:r>
          </w:p>
        </w:tc>
      </w:tr>
      <w:tr>
        <w:tc>
          <w:tcPr>
            <w:tcW w:type="dxa" w:w="4997"/>
          </w:tcPr>
          <w:p>
            <w:r>
              <w:rPr>
                <w:b/>
              </w:rPr>
              <w:t>在线发表时间</w:t>
            </w:r>
          </w:p>
        </w:tc>
        <w:tc>
          <w:tcPr>
            <w:tcW w:type="dxa" w:w="4997"/>
          </w:tcPr>
          <w:p>
            <w:r>
              <w:t>2026-08-17</w:t>
            </w:r>
          </w:p>
        </w:tc>
      </w:tr>
      <w:tr>
        <w:tc>
          <w:tcPr>
            <w:tcW w:type="dxa" w:w="4997"/>
          </w:tcPr>
          <w:p>
            <w:r>
              <w:rPr>
                <w:b/>
              </w:rPr>
              <w:t>SSCI分类</w:t>
            </w:r>
          </w:p>
        </w:tc>
        <w:tc>
          <w:tcPr>
            <w:tcW w:type="dxa" w:w="4997"/>
          </w:tcPr>
          <w:p>
            <w:r>
              <w:t>Interdisciplinary；Social Sciences</w:t>
            </w:r>
          </w:p>
        </w:tc>
      </w:tr>
      <w:tr>
        <w:tc>
          <w:tcPr>
            <w:tcW w:type="dxa" w:w="4997"/>
          </w:tcPr>
          <w:p>
            <w:r>
              <w:rPr>
                <w:b/>
              </w:rPr>
              <w:t>论文链接</w:t>
            </w:r>
          </w:p>
        </w:tc>
        <w:tc>
          <w:tcPr>
            <w:tcW w:type="dxa" w:w="4997"/>
          </w:tcPr>
          <w:p>
            <w:hyperlink r:id="rId10">
              <w:r>
                <w:rPr>
                  <w:color w:val="0563C1"/>
                  <w:u w:val="single"/>
                </w:rPr>
                <w:t>https://doi.org/10.56201/ijee.v12.no.2.2026.pg697.705</w:t>
              </w:r>
            </w:hyperlink>
          </w:p>
        </w:tc>
      </w:tr>
    </w:tbl>
    <w:p>
      <w:pPr>
        <w:pStyle w:val="Heading3"/>
      </w:pPr>
      <w:r>
        <w:t>研究摘要</w:t>
      </w:r>
    </w:p>
    <w:p>
      <w:r>
        <w:t>本研究分析了信息与通信技术（ICT）教育对尼日利亚东北部女童学业成绩与学习兴趣的影响。近年来，ICT已成为提升教育可及性、参与度和成就的有力工具，尤其对发展中地区女孩等边缘化群体如此。尽管尼日利亚学校对ICT基础设施的投资不断增加，但女性学生在学业结果和学习动机方面的差距依然存在，特别是在社会文化和经济挑战持续影响女童教育的东北部地区。研究以建构主义学习理论和技术整合框架为指导，采用描述性相关研究设计。研究对象为尼日利亚东北部六个州（Adamawa、Bauchi、Borno、Gombe、Taraba和Yobe）初中和高中阶段的女生；通过分层和简单随机抽样选取600名女学生。数据收集使用两个工具：ICT教育暴露问卷（ICTEEQ）和学习兴趣与学业成绩量表（LIAPS）；学业成绩数据来自学生最近一次考试成绩。采用描述性统计确定ICT暴露水平，使用Pearson相关和多元回归分析检验ICT教育对学习兴趣和学业成绩的影响。结果显示，ICT暴露水平较高的学生学业成绩和学习兴趣显著优于有限或无ICT访问的学生；ICT教育与学业成绩（r = .48, p &lt; .01）及学习兴趣（r = .52, p &lt; .01）均存在显著正相关；回归分析进一步表明ICT教育对学业成绩和学习兴趣均具有显著预测作用，能解释学生结果中很大比例的方差。研究认为ICT教育在改善女童学习的认知和动机维度方面发挥关键作用，建议增加数字基础设施投资、制定性别响应型ICT政策、加强教师技术增强教学培训，并为女孩提供安全、包容的数字学习环境。</w:t>
      </w:r>
    </w:p>
    <w:p>
      <w:pPr>
        <w:pStyle w:val="Heading3"/>
      </w:pPr>
      <w:r>
        <w:t>研究主要内容</w:t>
      </w:r>
    </w:p>
    <w:p>
      <w:r>
        <w:t>本研究以尼日利亚东北部六个州的初中和高中女学生为被试，考察ICT教育暴露水平与学业成绩、学习兴趣的关系。研究使用了ICT教育暴露问卷（ICTEEQ）、学习兴趣与学业成绩量表（LIAPS）以及学生最近考试成绩作为数据来源，采用描述性统计、Pearson相关和多元回归分析。研究主题涉及ICT在教育中的应用、性别教育公平、教师培训与技术整合。</w:t>
      </w:r>
    </w:p>
    <w:p>
      <w:pPr>
        <w:pStyle w:val="Heading3"/>
      </w:pPr>
      <w:r>
        <w:t>研究论点</w:t>
      </w:r>
    </w:p>
    <w:p>
      <w:r>
        <w:t>基于建构主义学习理论和技术整合框架，研究者主张ICT教育能够同时提升女童的认知学习结果（学业成绩）和学习动机（学习兴趣），因而有必要通过基础设施投资、性别响应政策、教师培训和包容性数字环境来缩小性别教育差距。</w:t>
      </w:r>
    </w:p>
    <w:p>
      <w:pPr>
        <w:pStyle w:val="Heading3"/>
      </w:pPr>
      <w:r>
        <w:t>研究问题</w:t>
      </w:r>
    </w:p>
    <w:p>
      <w:r>
        <w:t>摘要未明确列出具体研究问题，但其核心目的在于分析ICT教育如何影响尼日利亚东北部女童的学业成绩与学习兴趣。</w:t>
      </w:r>
    </w:p>
    <w:p>
      <w:pPr>
        <w:pStyle w:val="Heading3"/>
      </w:pPr>
      <w:r>
        <w:t>研究方法</w:t>
      </w:r>
    </w:p>
    <w:p>
      <w:r>
        <w:t>研究类型：定量研究，采用描述性相关设计。样本与参与者：600名女学生，来自尼日利亚东北部Adamawa、Bauchi、Borno、Gombe、Taraba和Yobe六个州的初中（upper basic）和高中（senior secondary）学校，通过分层抽样和简单随机抽样选取。数据来源：两个测量工具（ICT教育暴露问卷ICTEEQ、学习兴趣与学业成绩量表LIAPS）以及学生最近一次考试成绩。分析方法：描述性统计用于评估ICT暴露水平；Pearson相关和多元回归分析用于检验ICT教育对学业成绩和学习兴趣的影响。需要说明：摘要未报告工具的信效度、样本具体分布及回归模型的解释率数值，也未描述具体的数据收集过程。</w:t>
      </w:r>
    </w:p>
    <w:p>
      <w:pPr>
        <w:pStyle w:val="Heading3"/>
      </w:pPr>
      <w:r>
        <w:t>主要发现</w:t>
      </w:r>
    </w:p>
    <w:p>
      <w:r>
        <w:t>1. 更高ICT暴露水平的学生表现出显著更好的学业成绩和更强的学习兴趣，优于有限或没有ICT访问的学生。2. ICT教育与学业成绩之间存在显著正相关（r = .48, p &lt; .01），与学习兴趣之间存在显著正相关（r = .52, p &lt; .01）。3. 多元回归分析显示，ICT教育是学业成绩和学习兴趣的显著预测因素，能够解释学生结果中很大比例（摘要未说明具体数值）的方差。</w:t>
      </w:r>
    </w:p>
    <w:p>
      <w:pPr>
        <w:pStyle w:val="Heading3"/>
      </w:pPr>
      <w:r>
        <w:t>对教师教育研究的启示</w:t>
      </w:r>
    </w:p>
    <w:p>
      <w:r>
        <w:t>对教师教育研究的启示包括：（1）研究设计与测量：可采用标准化问卷（如ICTEEQ、LIAPS）与客观学业成绩相结合的定量方法，利用相关和多元回归考察教师技术使用态度、技能与学生结果的关系；（2）前沿主题：可以将教师ICT培训作为干预变量，进一步研究教师数字素养对女童学业成绩和兴趣的影响，兼顾性别、地区和社会文化背景因素；（3）数据收集与分析：在类似资源受限地区，可尝试混合方法（调查+访谈）以解释相关关系背后的机制，并考虑纵向追踪设计来支持因果推断。</w:t>
      </w:r>
    </w:p>
    <w:p>
      <w:pPr>
        <w:pStyle w:val="Heading3"/>
      </w:pPr>
      <w:r>
        <w:t>APA引用格式</w:t>
      </w:r>
    </w:p>
    <w:p>
      <w:r>
        <w:t>Umaru, M. H. (2026). Analyzing the influence of ICT education on academic performance and learning interest of the girl child in Northeast, Nigeria. International Journal of Education and Evaluation, 12(2), 697-705. https://doi.org/10.56201/ijee.v12.no.2.2026.pg697.705</w:t>
      </w:r>
    </w:p>
    <w:p>
      <w:r>
        <w:br w:type="page"/>
      </w:r>
    </w:p>
    <w:p>
      <w:pPr>
        <w:pStyle w:val="Heading2"/>
      </w:pPr>
      <w:r>
        <w:t>3. Edutainment-flipped classroom model and its impact on prospective teachers’ numeracy competence / 寓教于乐式翻转课堂模式对职前小学教师算术能力的影响</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Edutainment-flipped classroom model and its impact on prospective teachers’ numeracy competence / 寓教于乐式翻转课堂模式对职前小学教师算术能力的影响</w:t>
            </w:r>
          </w:p>
        </w:tc>
      </w:tr>
      <w:tr>
        <w:tc>
          <w:tcPr>
            <w:tcW w:type="dxa" w:w="4997"/>
          </w:tcPr>
          <w:p>
            <w:r>
              <w:rPr>
                <w:b/>
              </w:rPr>
              <w:t>作者</w:t>
            </w:r>
          </w:p>
        </w:tc>
        <w:tc>
          <w:tcPr>
            <w:tcW w:type="dxa" w:w="4997"/>
          </w:tcPr>
          <w:p>
            <w:r>
              <w:t>Fery Muhamad Firdaus, Ary Kiswanto Kenedi, Lantip Djat Prasojo, Lia Yuliana, Melva Zainil, Zulmi Ramdani</w:t>
            </w:r>
          </w:p>
        </w:tc>
      </w:tr>
      <w:tr>
        <w:tc>
          <w:tcPr>
            <w:tcW w:type="dxa" w:w="4997"/>
          </w:tcPr>
          <w:p>
            <w:r>
              <w:rPr>
                <w:b/>
              </w:rPr>
              <w:t>期刊及影响因子</w:t>
            </w:r>
          </w:p>
        </w:tc>
        <w:tc>
          <w:tcPr>
            <w:tcW w:type="dxa" w:w="4997"/>
          </w:tcPr>
          <w:p>
            <w:r>
              <w:t>影响因子：未提供；JCR分区：未提供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SPRINGER</w:t>
            </w:r>
          </w:p>
        </w:tc>
      </w:tr>
      <w:tr>
        <w:tc>
          <w:tcPr>
            <w:tcW w:type="dxa" w:w="4997"/>
          </w:tcPr>
          <w:p>
            <w:r>
              <w:rPr>
                <w:b/>
              </w:rPr>
              <w:t>卷期/DOI</w:t>
            </w:r>
          </w:p>
        </w:tc>
        <w:tc>
          <w:tcPr>
            <w:tcW w:type="dxa" w:w="4997"/>
          </w:tcPr>
          <w:p>
            <w:r>
              <w:t>卷期信息未提供，DOI: 10.1108/jarhe-02-2026-0283</w:t>
            </w:r>
          </w:p>
        </w:tc>
      </w:tr>
      <w:tr>
        <w:tc>
          <w:tcPr>
            <w:tcW w:type="dxa" w:w="4997"/>
          </w:tcPr>
          <w:p>
            <w:r>
              <w:rPr>
                <w:b/>
              </w:rPr>
              <w:t>在线发表时间</w:t>
            </w:r>
          </w:p>
        </w:tc>
        <w:tc>
          <w:tcPr>
            <w:tcW w:type="dxa" w:w="4997"/>
          </w:tcPr>
          <w:p>
            <w:r>
              <w:t>2026-08-18</w:t>
            </w:r>
          </w:p>
        </w:tc>
      </w:tr>
      <w:tr>
        <w:tc>
          <w:tcPr>
            <w:tcW w:type="dxa" w:w="4997"/>
          </w:tcPr>
          <w:p>
            <w:r>
              <w:rPr>
                <w:b/>
              </w:rPr>
              <w:t>SSCI分类</w:t>
            </w:r>
          </w:p>
        </w:tc>
        <w:tc>
          <w:tcPr>
            <w:tcW w:type="dxa" w:w="4997"/>
          </w:tcPr>
          <w:p>
            <w:r>
              <w:t>Education &amp; Educational Research</w:t>
            </w:r>
          </w:p>
        </w:tc>
      </w:tr>
      <w:tr>
        <w:tc>
          <w:tcPr>
            <w:tcW w:type="dxa" w:w="4997"/>
          </w:tcPr>
          <w:p>
            <w:r>
              <w:rPr>
                <w:b/>
              </w:rPr>
              <w:t>论文链接</w:t>
            </w:r>
          </w:p>
        </w:tc>
        <w:tc>
          <w:tcPr>
            <w:tcW w:type="dxa" w:w="4997"/>
          </w:tcPr>
          <w:p>
            <w:hyperlink r:id="rId11">
              <w:r>
                <w:rPr>
                  <w:color w:val="0563C1"/>
                  <w:u w:val="single"/>
                </w:rPr>
                <w:t>https://doi.org/10.1108/jarhe-02-2026-0283</w:t>
              </w:r>
            </w:hyperlink>
          </w:p>
        </w:tc>
      </w:tr>
    </w:tbl>
    <w:p>
      <w:pPr>
        <w:pStyle w:val="Heading3"/>
      </w:pPr>
      <w:r>
        <w:t>研究摘要</w:t>
      </w:r>
    </w:p>
    <w:p>
      <w:r>
        <w:t>目的：本研究考察基于寓教于乐（edutainment）的翻转课堂模式对职前小学教师算术能力的影响。设计/方法/路径：采用混合方法嵌入式设计，并带有准实验方法。参与者为312名小学教师教育专业学生，通过整群抽样分为实验组（n=156）和对照组（n=156）。定量数据通过算术能力测试收集，并使用前测等价性检验和协方差分析（ANCOVA）检验寓教于乐-翻转课堂模型在控制基线差异后的效果。定性数据通过问卷和半结构化访谈收集，以探索学生的学习体验、认知与情感投入以及对该学习模式的感知。使用ATLAS.ti第24版对定性数据进行主题分析，以支持和丰富定量发现。发现：结果表明，接受寓教于乐式翻转课堂的学生在算术能力上显著高于接受传统翻转课堂的学生。在三个指标上均有改善：基本数学数字和符号的使用、分析各种表征信息的能力，以及利用分析结果进行预测和决策的能力。定性发现表明，寓教于乐的整合增强了学生的参与度和概念理解。原创性/价值：本研究为在翻转课堂中整合寓教于乐以提升教师教育中算术能力的有效性提供了实证证据，为加强职前教师的算术能力提供了新颖的教学视角。</w:t>
      </w:r>
    </w:p>
    <w:p>
      <w:pPr>
        <w:pStyle w:val="Heading3"/>
      </w:pPr>
      <w:r>
        <w:t>研究主要内容</w:t>
      </w:r>
    </w:p>
    <w:p>
      <w:r>
        <w:t>本研究聚焦于职前小学教师教育，将寓教于乐元素融入翻转课堂模型，考察其对算术能力的影响。通过混合方法嵌入式设计，结合定量测试和定性访谈，比较了寓教于乐式翻转课堂与传统翻转课堂的效果差异，并验证了该模式在提升数字运算、信息表征分析、预测与决策等指标方面的有效性。</w:t>
      </w:r>
    </w:p>
    <w:p>
      <w:pPr>
        <w:pStyle w:val="Heading3"/>
      </w:pPr>
      <w:r>
        <w:t>研究论点</w:t>
      </w:r>
    </w:p>
    <w:p>
      <w:r>
        <w:t>核心论证在于：将寓教于乐整合进翻转课堂模型可以为职前教师提供更具参与性和概念理解的学习环境，从而有效提升其算术能力；而现有证据仍较缺乏，本研究通过混合方法提供了实证支持。</w:t>
      </w:r>
    </w:p>
    <w:p>
      <w:pPr>
        <w:pStyle w:val="Heading3"/>
      </w:pPr>
      <w:r>
        <w:t>研究问题</w:t>
      </w:r>
    </w:p>
    <w:p>
      <w:r>
        <w:t>摘要未明确列出具体研究问题，但研究目的可理解为：基于寓教于乐（edutainment）的翻转课堂模式是否显著提升职前小学教师的算术能力？其作用机制和学生学习体验如何？</w:t>
      </w:r>
    </w:p>
    <w:p>
      <w:pPr>
        <w:pStyle w:val="Heading3"/>
      </w:pPr>
      <w:r>
        <w:t>研究方法</w:t>
      </w:r>
    </w:p>
    <w:p>
      <w:r>
        <w:t>研究类型：混合方法嵌入式设计，包含准实验成分。样本：312名小学教师教育专业学生，实验组156人，对照组156人，采用整群抽样（intact group sampling）。数据来源：定量数据为算术能力测试；定性数据为问卷和半结构化访谈。分析方法：定量数据采用前测等价性检验和ANCOVA（控制基线差异）；定性数据采用ATLAS.ti第24版进行主题分析。摘要未提及数据收集的具体时间、地点以及访谈样本量等细节。</w:t>
      </w:r>
    </w:p>
    <w:p>
      <w:pPr>
        <w:pStyle w:val="Heading3"/>
      </w:pPr>
      <w:r>
        <w:t>主要发现</w:t>
      </w:r>
    </w:p>
    <w:p>
      <w:r>
        <w:t>1. 接受寓教于乐式翻转课堂的学生在算术能力上显著高于传统翻转课堂组。2. 改进体现在三个指标：基本数学数字和符号的运用、分析多种表征信息的能力、以及运用分析结果进行预测和决策的能力。3. 定性结果说明，寓教于乐的整合增强了学生的学习参与度和概念理解，支持了定量发现。</w:t>
      </w:r>
    </w:p>
    <w:p>
      <w:pPr>
        <w:pStyle w:val="Heading3"/>
      </w:pPr>
      <w:r>
        <w:t>对教师教育研究的启示</w:t>
      </w:r>
    </w:p>
    <w:p>
      <w:r>
        <w:t>1. 前沿主题：为教师教育中的AI与数字化教学整合提供参照，可进一步探索数字工具支持的寓教于乐翻转课堂对职前教师能力发展的影响。2. 研究设计：本研究采用的混合方法嵌入式设计（准实验+定性探索）可迁移至教师教育研究中，用于评估新型教学模式的综合效果。3. 数据收集与分析：使用标准化测试、问卷和半结构化访谈，并结合ANCOVA控制前测差异、ATLAS.ti进行主题分析，为教师教育研究者提供了可复制的数据采集与分析方法组合。</w:t>
      </w:r>
    </w:p>
    <w:p>
      <w:pPr>
        <w:pStyle w:val="Heading3"/>
      </w:pPr>
      <w:r>
        <w:t>APA引用格式</w:t>
      </w:r>
    </w:p>
    <w:p>
      <w:r>
        <w:t>Firdaus, F. M., Kenedi, A. K., Prasojo, L. D., Yuliana, L., Zainil, M., &amp; Ramdani, Z. (2026). Edutainment-flipped classroom model and its impact on prospective teachers' numeracy competence. Journal of Applied Research in Higher Education. https://doi.org/10.1108/jarhe-02-2026-0283</w:t>
      </w:r>
    </w:p>
    <w:p>
      <w:r>
        <w:br w:type="page"/>
      </w:r>
    </w:p>
    <w:p>
      <w:pPr>
        <w:pStyle w:val="Heading2"/>
      </w:pPr>
      <w:r>
        <w:t>4. Towards emotion-aware online learning through facial expression analysis / 通过面部表情分析迈向情感感知的在线学习</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Towards emotion-aware online learning through facial expression analysis / 通过面部表情分析迈向情感感知的在线学习</w:t>
            </w:r>
          </w:p>
        </w:tc>
      </w:tr>
      <w:tr>
        <w:tc>
          <w:tcPr>
            <w:tcW w:type="dxa" w:w="4997"/>
          </w:tcPr>
          <w:p>
            <w:r>
              <w:rPr>
                <w:b/>
              </w:rPr>
              <w:t>作者</w:t>
            </w:r>
          </w:p>
        </w:tc>
        <w:tc>
          <w:tcPr>
            <w:tcW w:type="dxa" w:w="4997"/>
          </w:tcPr>
          <w:p>
            <w:r>
              <w:t>Öznur Şengel, Fatma Patlar Akbulut, Cagatay Catal</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卷期缺失；DOI: 10.1108/ijicc-04-2026-0372</w:t>
            </w:r>
          </w:p>
        </w:tc>
      </w:tr>
      <w:tr>
        <w:tc>
          <w:tcPr>
            <w:tcW w:type="dxa" w:w="4997"/>
          </w:tcPr>
          <w:p>
            <w:r>
              <w:rPr>
                <w:b/>
              </w:rPr>
              <w:t>在线发表时间</w:t>
            </w:r>
          </w:p>
        </w:tc>
        <w:tc>
          <w:tcPr>
            <w:tcW w:type="dxa" w:w="4997"/>
          </w:tcPr>
          <w:p>
            <w:r>
              <w:t>2026-08-18</w:t>
            </w:r>
          </w:p>
        </w:tc>
      </w:tr>
      <w:tr>
        <w:tc>
          <w:tcPr>
            <w:tcW w:type="dxa" w:w="4997"/>
          </w:tcPr>
          <w:p>
            <w:r>
              <w:rPr>
                <w:b/>
              </w:rPr>
              <w:t>SSCI分类</w:t>
            </w:r>
          </w:p>
        </w:tc>
        <w:tc>
          <w:tcPr>
            <w:tcW w:type="dxa" w:w="4997"/>
          </w:tcPr>
          <w:p>
            <w:r>
              <w:t>International Relations</w:t>
            </w:r>
          </w:p>
        </w:tc>
      </w:tr>
      <w:tr>
        <w:tc>
          <w:tcPr>
            <w:tcW w:type="dxa" w:w="4997"/>
          </w:tcPr>
          <w:p>
            <w:r>
              <w:rPr>
                <w:b/>
              </w:rPr>
              <w:t>论文链接</w:t>
            </w:r>
          </w:p>
        </w:tc>
        <w:tc>
          <w:tcPr>
            <w:tcW w:type="dxa" w:w="4997"/>
          </w:tcPr>
          <w:p>
            <w:hyperlink r:id="rId12">
              <w:r>
                <w:rPr>
                  <w:color w:val="0563C1"/>
                  <w:u w:val="single"/>
                </w:rPr>
                <w:t>https://doi.org/10.1108/ijicc-04-2026-0372</w:t>
              </w:r>
            </w:hyperlink>
          </w:p>
        </w:tc>
      </w:tr>
    </w:tbl>
    <w:p>
      <w:pPr>
        <w:pStyle w:val="Heading3"/>
      </w:pPr>
      <w:r>
        <w:t>研究摘要</w:t>
      </w:r>
    </w:p>
    <w:p>
      <w:r>
        <w:t>在线学习环境提供了丰富的学习者活动数字痕迹，但对教师在面对面课堂中自然观察到的非语言情感线索，其获取途径有限。本研究探讨将面部表情分析作为情感感知在线学习中的情感感知组件。研究从26名学生的在线学习时段中收集面部数据，并将自我报告的情绪标签映射为积极、中性和消极三类情感。视觉流被转化为标准化的面部中心表征，并使用轻量级CNN实现及具有代表性的预训练CNN架构进行评估。结果显示，参与者认为面部表情是在线学习中有意义的非语言线索。在分类实验中，VGG19取得了最高准确率（0.79），而轻量级CNN取得了可比的准确率（0.78）且损失值最低。这些发现表明，基于面部表情的情感线索可以从在线学习数据中提取，并可能在未来情感感知教育系统中补充常规的学习分析。</w:t>
      </w:r>
    </w:p>
    <w:p>
      <w:pPr>
        <w:pStyle w:val="Heading3"/>
      </w:pPr>
      <w:r>
        <w:t>研究主要内容</w:t>
      </w:r>
    </w:p>
    <w:p>
      <w:r>
        <w:t>该研究针对在线学习中缺乏非语言情感信息的问题，提出使用面部表情分析作为情感感知组件。研究收集了26名学生在在线学习中的面部数据，结合自我报告情绪标签，构建了积极、中性、消极三类情感分类任务。通过对标准化面部图像应用轻量级CNN和预训练CNN（如VGG19）进行实验，比较了不同模型的分类性能。结果显示，面部表情能够提供有意义的情感线索，且轻量级模型在准确率上与复杂模型相当，并具有更低的损失值，为未来在在线学习系统中部署情感感知功能提供了可行性证据。</w:t>
      </w:r>
    </w:p>
    <w:p>
      <w:pPr>
        <w:pStyle w:val="Heading3"/>
      </w:pPr>
      <w:r>
        <w:t>研究论点</w:t>
      </w:r>
    </w:p>
    <w:p>
      <w:r>
        <w:t>在线学习环境中的面部表情分析可以作为有效的情感感知手段，弥补非语言情感线索的缺失，从而增强学习分析的情感维度。</w:t>
      </w:r>
    </w:p>
    <w:p>
      <w:pPr>
        <w:pStyle w:val="Heading3"/>
      </w:pPr>
      <w:r>
        <w:t>研究问题</w:t>
      </w:r>
    </w:p>
    <w:p>
      <w:r>
        <w:t>面部表情分析是否能够作为在线学习中的情感感知组件，有效识别学习者的情感状态？</w:t>
      </w:r>
    </w:p>
    <w:p>
      <w:pPr>
        <w:pStyle w:val="Heading3"/>
      </w:pPr>
      <w:r>
        <w:t>研究方法</w:t>
      </w:r>
    </w:p>
    <w:p>
      <w:r>
        <w:t>研究类型：定量研究（基于模型实验的实证研究）。样本/参与者：26名学生，具体教育阶段（如大学、中小学）摘要未说明。数据来源：在线学习时段中收集的面部数据，以及参与者自我报告的情绪标签；情绪标签被映射为积极、中性和消极三类。数据收集方式：摘要未明确说明使用何种设备或工具采集面部数据。分析方法：将视觉流转换为标准化面部中心表征，使用轻量级CNN和预训练CNN（包括VGG19）进行分类，以准确率和损失值评估模型性能；未提及统计检验或其他定性分析。具体实验设计细节（如实验条件、任务类型、数据采集时长）摘要未说明。</w:t>
      </w:r>
    </w:p>
    <w:p>
      <w:pPr>
        <w:pStyle w:val="Heading3"/>
      </w:pPr>
      <w:r>
        <w:t>主要发现</w:t>
      </w:r>
    </w:p>
    <w:p>
      <w:r>
        <w:t>['参与者普遍认为面部表情是在线学习中有意义的非语言线索，支持情感感知技术的必要性。', '在分类实验中，VGG19取得了最高准确率（0.79）。', '轻量级CNN取得了与VGG19可比的准确率（0.78），且损失值最低，表明其具有高效性与实用性。', '基于面部表情的情感线索可以提取自在线学习数据，并有望补充传统学习分析。']</w:t>
      </w:r>
    </w:p>
    <w:p>
      <w:pPr>
        <w:pStyle w:val="Heading3"/>
      </w:pPr>
      <w:r>
        <w:t>对教师教育研究的启示</w:t>
      </w:r>
    </w:p>
    <w:p>
      <w:r>
        <w:t>该研究为教师教育中的AI整合提供了前沿方向：可探索利用面部表情分析支持教师对在线课堂中学生情感状态的实时感知，从而促进教学调整。在研究设计上，可参考其将自我报告标签与视觉数据结合、构建多模态情感数据集的方法，并注意轻量级模型在真实教育场景中的部署潜力。但当前样本量较小且未涉及中小学课堂，未来研究可扩展到基础教育阶段，并补充更严格的数据采集与伦理规范。在分析方法上，可借鉴CNN模型比较框架，结合准确率与损失值等多指标评估，推动情感感知学习分析的发展。</w:t>
      </w:r>
    </w:p>
    <w:p>
      <w:pPr>
        <w:pStyle w:val="Heading3"/>
      </w:pPr>
      <w:r>
        <w:t>APA引用格式</w:t>
      </w:r>
    </w:p>
    <w:p>
      <w:r>
        <w:t>Sengel, Ö., Akbulut, F. P., &amp; Catal, C. (2026). Towards emotion-aware online learning through facial expression analysis. International Journal of Intelligent Computing and Cybernetics. Advance online publication. https://doi.org/10.1108/ijicc-04-2026-0372</w:t>
      </w:r>
    </w:p>
    <w:p>
      <w:r>
        <w:br w:type="page"/>
      </w:r>
    </w:p>
    <w:p>
      <w:pPr>
        <w:pStyle w:val="Heading2"/>
      </w:pPr>
      <w:r>
        <w:t>5. AI in Journalism Education: Curriculum Development and Implementation of Journalism in BRICS Universities / 新闻教育中的人工智能：金砖国家大学新闻学课程开发与实施</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AI in Journalism Education: Curriculum Development and Implementation of Journalism in BRICS Universities / 新闻教育中的人工智能：金砖国家大学新闻学课程开发与实施</w:t>
            </w:r>
          </w:p>
        </w:tc>
      </w:tr>
      <w:tr>
        <w:tc>
          <w:tcPr>
            <w:tcW w:type="dxa" w:w="4997"/>
          </w:tcPr>
          <w:p>
            <w:r>
              <w:rPr>
                <w:b/>
              </w:rPr>
              <w:t>作者</w:t>
            </w:r>
          </w:p>
        </w:tc>
        <w:tc>
          <w:tcPr>
            <w:tcW w:type="dxa" w:w="4997"/>
          </w:tcPr>
          <w:p>
            <w:r>
              <w:t>Liqi Yang, Ping Song, Shensi Wang, Jinghong Xu</w:t>
            </w:r>
          </w:p>
        </w:tc>
      </w:tr>
      <w:tr>
        <w:tc>
          <w:tcPr>
            <w:tcW w:type="dxa" w:w="4997"/>
          </w:tcPr>
          <w:p>
            <w:r>
              <w:rPr>
                <w:b/>
              </w:rPr>
              <w:t>期刊及影响因子</w:t>
            </w:r>
          </w:p>
        </w:tc>
        <w:tc>
          <w:tcPr>
            <w:tcW w:type="dxa" w:w="4997"/>
          </w:tcPr>
          <w:p>
            <w:r>
              <w:t>白名单未提供影响因子；白名单未提供JCR分区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2183-2439</w:t>
            </w:r>
          </w:p>
        </w:tc>
      </w:tr>
      <w:tr>
        <w:tc>
          <w:tcPr>
            <w:tcW w:type="dxa" w:w="4997"/>
          </w:tcPr>
          <w:p>
            <w:r>
              <w:rPr>
                <w:b/>
              </w:rPr>
              <w:t>卷期/DOI</w:t>
            </w:r>
          </w:p>
        </w:tc>
        <w:tc>
          <w:tcPr>
            <w:tcW w:type="dxa" w:w="4997"/>
          </w:tcPr>
          <w:p>
            <w:r>
              <w:t>卷期未说明；DOI: 10.17645/mac.12516</w:t>
            </w:r>
          </w:p>
        </w:tc>
      </w:tr>
      <w:tr>
        <w:tc>
          <w:tcPr>
            <w:tcW w:type="dxa" w:w="4997"/>
          </w:tcPr>
          <w:p>
            <w:r>
              <w:rPr>
                <w:b/>
              </w:rPr>
              <w:t>在线发表时间</w:t>
            </w:r>
          </w:p>
        </w:tc>
        <w:tc>
          <w:tcPr>
            <w:tcW w:type="dxa" w:w="4997"/>
          </w:tcPr>
          <w:p>
            <w:r>
              <w:t>2026-08-17</w:t>
            </w:r>
          </w:p>
        </w:tc>
      </w:tr>
      <w:tr>
        <w:tc>
          <w:tcPr>
            <w:tcW w:type="dxa" w:w="4997"/>
          </w:tcPr>
          <w:p>
            <w:r>
              <w:rPr>
                <w:b/>
              </w:rPr>
              <w:t>SSCI分类</w:t>
            </w:r>
          </w:p>
        </w:tc>
        <w:tc>
          <w:tcPr>
            <w:tcW w:type="dxa" w:w="4997"/>
          </w:tcPr>
          <w:p>
            <w:r>
              <w:t>Communication；English</w:t>
            </w:r>
          </w:p>
        </w:tc>
      </w:tr>
      <w:tr>
        <w:tc>
          <w:tcPr>
            <w:tcW w:type="dxa" w:w="4997"/>
          </w:tcPr>
          <w:p>
            <w:r>
              <w:rPr>
                <w:b/>
              </w:rPr>
              <w:t>论文链接</w:t>
            </w:r>
          </w:p>
        </w:tc>
        <w:tc>
          <w:tcPr>
            <w:tcW w:type="dxa" w:w="4997"/>
          </w:tcPr>
          <w:p>
            <w:hyperlink r:id="rId13">
              <w:r>
                <w:rPr>
                  <w:color w:val="0563C1"/>
                  <w:u w:val="single"/>
                </w:rPr>
                <w:t>https://doi.org/10.17645/mac.12516</w:t>
              </w:r>
            </w:hyperlink>
          </w:p>
        </w:tc>
      </w:tr>
    </w:tbl>
    <w:p>
      <w:pPr>
        <w:pStyle w:val="Heading3"/>
      </w:pPr>
      <w:r>
        <w:t>研究摘要</w:t>
      </w:r>
    </w:p>
    <w:p>
      <w:r>
        <w:t>本研究采用内容分析与半结构化深度访谈，考察金砖国家新闻教育如何应对人工智能的兴起并调整其核心范式。本研究中的“金砖国家”指扩员后的金砖国家集团，包括巴西、俄罗斯、印度、中国、南非、埃及、埃塞俄比亚、伊朗、沙特阿拉伯和阿联酋。研究结合了大学新闻学课程的隐含狄利克雷分配（LDA）主题建模，以及对15位中国新闻教育工作者的访谈。研究者选取了10所设有新闻传播专业的代表性金砖国家大学作为样本，收集其所有AI相关课程的培养方案、教学大纲和教学文件，使用LDA模型提取核心主题，并在课程本地化、技术工具、技能引导、教学内容和价值观五个维度上进行人工定性内容分析。访谈结果为研究提供了有价值的补充性洞见。</w:t>
      </w:r>
    </w:p>
    <w:p>
      <w:pPr>
        <w:pStyle w:val="Heading3"/>
      </w:pPr>
      <w:r>
        <w:t>研究主要内容</w:t>
      </w:r>
    </w:p>
    <w:p>
      <w:r>
        <w:t>该研究关注人工智能对新闻教育的影响，聚焦扩员后的金砖国家高校。研究样本包括10所金砖国家代表性大学及其AI相关课程文件，并访谈15位中国新闻教育者。数据分析采用LDA主题建模与人工定性内容分析相结合的方式，分析维度涵盖课程本地化、技术工具、技能引导、教学内容和价值观。研究旨在揭示各国新闻传播学科在AI浪潮下的课程调整与范式变化，但摘要未呈现具体课程比较结果或访谈主题。</w:t>
      </w:r>
    </w:p>
    <w:p>
      <w:pPr>
        <w:pStyle w:val="Heading3"/>
      </w:pPr>
      <w:r>
        <w:t>研究论点</w:t>
      </w:r>
    </w:p>
    <w:p>
      <w:r>
        <w:t>摘要未明确陈述论证性主张。可推断其核心关切是：AI的兴起对新闻教育的课程体系和核心范式构成挑战，金砖国家高校需要在课程本地化、技术工具、技能引导、教学内容和价值观等维度上进行回应与调整。</w:t>
      </w:r>
    </w:p>
    <w:p>
      <w:pPr>
        <w:pStyle w:val="Heading3"/>
      </w:pPr>
      <w:r>
        <w:t>研究问题</w:t>
      </w:r>
    </w:p>
    <w:p>
      <w:r>
        <w:t>摘要未明确写出研究问题。根据研究目的可推断核心问题为：金砖国家高校新闻教育如何回应AI的兴起，并据此调整其核心课程范式？</w:t>
      </w:r>
    </w:p>
    <w:p>
      <w:pPr>
        <w:pStyle w:val="Heading3"/>
      </w:pPr>
      <w:r>
        <w:t>研究方法</w:t>
      </w:r>
    </w:p>
    <w:p>
      <w:r>
        <w:t>采用混合研究设计，包含定量/计算文本分析与定性内容分析及访谈。样本/参与者：10所设有新闻传播专业的代表性金砖国家大学（涵盖扩员后的金砖国家）；15位中国新闻教育工作者。数据来源：所选大学所有AI相关课程的培养方案、教学大纲和教学文件；半结构化访谈资料。分析方法：使用LDA模型对课程文本进行主题建模；在课程本地化、技术工具、技能引导、教学内容、价值观五个维度上进行人工定性内容分析；访谈结果用作补充。需要说明：访谈资料的具体编码或主题分析方法，摘要未说明。</w:t>
      </w:r>
    </w:p>
    <w:p>
      <w:pPr>
        <w:pStyle w:val="Heading3"/>
      </w:pPr>
      <w:r>
        <w:t>主要发现</w:t>
      </w:r>
    </w:p>
    <w:p>
      <w:r>
        <w:t>摘要未报告具体研究发现。可确认的要点如下：</w:t>
      </w:r>
    </w:p>
    <w:p>
      <w:r>
        <w:t>1. 摘要仅说明研究旨在考察金砖国家新闻教育如何应对AI并调整核心范式，未给出具体结论。</w:t>
      </w:r>
    </w:p>
    <w:p>
      <w:r>
        <w:t>2. 摘要未提供LDA模型提取出的课程核心主题，也未报告五维人工内容分析的比较结果。</w:t>
      </w:r>
    </w:p>
    <w:p>
      <w:r>
        <w:t>3. 摘要未报告15位中国新闻教育工作者访谈的具体内容或观点，仅表示访谈提供了有价值的补充性洞见。</w:t>
      </w:r>
    </w:p>
    <w:p>
      <w:pPr>
        <w:pStyle w:val="Heading3"/>
      </w:pPr>
      <w:r>
        <w:t>对教师教育研究的启示</w:t>
      </w:r>
    </w:p>
    <w:p>
      <w:r>
        <w:t>对教师教育研究者的启示：</w:t>
      </w:r>
    </w:p>
    <w:p>
      <w:r>
        <w:t>1. 可采用“课程文件收集+LDA主题建模+人工维度分析”的混合方法，分析教师教育机构中AI素养/数字素养相关课程的目标、内容与结构。</w:t>
      </w:r>
    </w:p>
    <w:p>
      <w:r>
        <w:t>2. 可将课程本地化、技术工具、技能引导、教学内容、价值观等维度迁移到教师智能素养课程分析中，识别教师培训课程的核心主题与缺口。</w:t>
      </w:r>
    </w:p>
    <w:p>
      <w:r>
        <w:t>3. 可借鉴“多国案例+教育者访谈”的设计，比较不同国家教师教育中的AI整合状况，并通过对教师教育者的半结构化访谈获取制度文本之外的实践视角。</w:t>
      </w:r>
    </w:p>
    <w:p>
      <w:pPr>
        <w:pStyle w:val="Heading3"/>
      </w:pPr>
      <w:r>
        <w:t>APA引用格式</w:t>
      </w:r>
    </w:p>
    <w:p>
      <w:r>
        <w:t>Yang, L., Song, P., Wang, S., &amp; Xu, J. (2026). AI in journalism education: Curriculum development and implementation of journalism in BRICS universities. Media and Communication. Advance online publication. https://doi.org/10.17645/mac.12516</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142.00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56201/ijee.v12.no.2.2026.pg666.674" TargetMode="External"/><Relationship Id="rId10" Type="http://schemas.openxmlformats.org/officeDocument/2006/relationships/hyperlink" Target="https://doi.org/10.56201/ijee.v12.no.2.2026.pg697.705" TargetMode="External"/><Relationship Id="rId11" Type="http://schemas.openxmlformats.org/officeDocument/2006/relationships/hyperlink" Target="https://doi.org/10.1108/jarhe-02-2026-0283" TargetMode="External"/><Relationship Id="rId12" Type="http://schemas.openxmlformats.org/officeDocument/2006/relationships/hyperlink" Target="https://doi.org/10.1108/ijicc-04-2026-0372" TargetMode="External"/><Relationship Id="rId13" Type="http://schemas.openxmlformats.org/officeDocument/2006/relationships/hyperlink" Target="https://doi.org/10.17645/mac.125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