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每日SSCI文献简报｜2026-10-24</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2026-10-24 10:17:50（北京时间）</w:t>
            </w:r>
          </w:p>
        </w:tc>
      </w:tr>
      <w:tr>
        <w:tc>
          <w:tcPr>
            <w:tcW w:type="dxa" w:w="4997"/>
          </w:tcPr>
          <w:p>
            <w:r>
              <w:rPr>
                <w:b/>
              </w:rPr>
              <w:t>检索窗口</w:t>
            </w:r>
          </w:p>
        </w:tc>
        <w:tc>
          <w:tcPr>
            <w:tcW w:type="dxa" w:w="4997"/>
          </w:tcPr>
          <w:p>
            <w:r>
              <w:t>2023-10-25 — 2026-10-24</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**今日文献亮点总结**</w:t>
        <w:br/>
        <w:br/>
        <w:t>今日五篇聚焦生成式AI进课堂的人机协同问题：涉及小学人机协作、幼教伦理、工科虚拟仿真、二语写作指标与景观生成设计，研究方法多元。趋势是人本取向、证据约束与指标可验证，写作指标效度研究尤其贴近中国智能测评语境。（96字）</w:t>
      </w:r>
    </w:p>
    <w:p>
      <w:pPr>
        <w:pStyle w:val="Heading1"/>
      </w:pPr>
      <w:r>
        <w:t>目录</w:t>
      </w:r>
    </w:p>
    <w:p>
      <w:pPr>
        <w:pStyle w:val="ListNumber"/>
      </w:pPr>
      <w:r>
        <w:rPr>
          <w:b/>
        </w:rPr>
        <w:t>基于ODeL的教师专业发展框架：促进小学数学问题解决中教师主导的人机协作——一项概念分析</w:t>
      </w:r>
      <w:r>
        <w:t>｜Frontiers in Artificial Intelligence｜2026-10-23</w:t>
      </w:r>
    </w:p>
    <w:p>
      <w:pPr>
        <w:pStyle w:val="ListNumber"/>
      </w:pPr>
      <w:r>
        <w:rPr>
          <w:b/>
        </w:rPr>
        <w:t>通过人工智能变革全球早期儿童教育：应对早期学习系统中的教师短缺、不平等与质量差距</w:t>
      </w:r>
      <w:r>
        <w:t>｜International Social Research Nexus (ISRN)｜2026-10-23</w:t>
      </w:r>
    </w:p>
    <w:p>
      <w:pPr>
        <w:pStyle w:val="ListNumber"/>
      </w:pPr>
      <w:r>
        <w:rPr>
          <w:b/>
        </w:rPr>
        <w:t>基于BS架构的VSS教学系统在水利专业课程实践教学中的应用研究</w:t>
      </w:r>
      <w:r>
        <w:t>｜Water｜2026-10-21</w:t>
      </w:r>
    </w:p>
    <w:p>
      <w:pPr>
        <w:pStyle w:val="ListNumber"/>
      </w:pPr>
      <w:r>
        <w:rPr>
          <w:b/>
        </w:rPr>
        <w:t>验证用于二语写作分析的自动化复杂度、准确度与流利度指标</w:t>
      </w:r>
      <w:r>
        <w:t>｜Language Education &amp;amp; Assessment｜2026-10-23</w:t>
      </w:r>
    </w:p>
    <w:p>
      <w:pPr>
        <w:pStyle w:val="ListNumber"/>
      </w:pPr>
      <w:r>
        <w:rPr>
          <w:b/>
        </w:rPr>
        <w:t>AI驱动、证据为本的生成式设计：整合研究成果、设计先例与智能识别判断的景观建筑学教学框架</w:t>
      </w:r>
      <w:r>
        <w:t>｜World Journal of Educational Studies｜2026-10-23</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An ODeL-based teacher professional development framework for teacher-facilitated human–AI collaboration in primary mathematics problem-solving: a conceptual analysis / 基于ODeL的教师专业发展框架：促进小学数学问题解决中教师主导的人机协作——一项概念分析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An ODeL-based teacher professional development framework for teacher-facilitated human–AI collaboration in primary mathematics problem-solving: a conceptual analysis / 基于ODeL的教师专业发展框架：促进小学数学问题解决中教师主导的人机协作——一项概念分析</w:t>
            </w:r>
          </w:p>
        </w:tc>
      </w:tr>
      <w:tr>
        <w:tc>
          <w:tcPr>
            <w:tcW w:type="dxa" w:w="4997"/>
          </w:tcPr>
          <w:p>
            <w:r>
              <w:rPr>
                <w:b/>
              </w:rPr>
              <w:t>作者</w:t>
            </w:r>
          </w:p>
        </w:tc>
        <w:tc>
          <w:tcPr>
            <w:tcW w:type="dxa" w:w="4997"/>
          </w:tcPr>
          <w:p>
            <w:r>
              <w:t>Zanele Dibane</w:t>
            </w:r>
          </w:p>
        </w:tc>
      </w:tr>
      <w:tr>
        <w:tc>
          <w:tcPr>
            <w:tcW w:type="dxa" w:w="4997"/>
          </w:tcPr>
          <w:p>
            <w:r>
              <w:rPr>
                <w:b/>
              </w:rPr>
              <w:t>期刊及影响因子</w:t>
            </w:r>
          </w:p>
        </w:tc>
        <w:tc>
          <w:tcPr>
            <w:tcW w:type="dxa" w:w="4997"/>
          </w:tcPr>
          <w:p>
            <w:r>
              <w:t>白名单未提供影响因子/JCR分区；SSCI分类为Multidisciplinary, Psychology。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DOI: 10.3389/frai.2026.1970792；卷期摘要未说明。</w:t>
            </w:r>
          </w:p>
        </w:tc>
      </w:tr>
      <w:tr>
        <w:tc>
          <w:tcPr>
            <w:tcW w:type="dxa" w:w="4997"/>
          </w:tcPr>
          <w:p>
            <w:r>
              <w:rPr>
                <w:b/>
              </w:rPr>
              <w:t>在线发表时间</w:t>
            </w:r>
          </w:p>
        </w:tc>
        <w:tc>
          <w:tcPr>
            <w:tcW w:type="dxa" w:w="4997"/>
          </w:tcPr>
          <w:p>
            <w:r>
              <w:t>2026-10-23</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9">
              <w:r>
                <w:rPr>
                  <w:color w:val="0563C1"/>
                  <w:u w:val="single"/>
                </w:rPr>
                <w:t>https://doi.org/10.3389/frai.2026.1970792</w:t>
              </w:r>
            </w:hyperlink>
          </w:p>
        </w:tc>
      </w:tr>
    </w:tbl>
    <w:p>
      <w:pPr>
        <w:pStyle w:val="Heading3"/>
      </w:pPr>
      <w:r>
        <w:t>研究摘要</w:t>
      </w:r>
    </w:p>
    <w:p>
      <w:r>
        <w:t>该文为概念分析文章，聚焦开放远程电子学习（ODeL）背景下教师专业发展如何培养教师促进小学人机协作数学问题解决的能力。文章通过整合性文献综述与理论综合，整合Intelligent-TPACK、最近发展区与社会建构主义、Polya启发式以及交互距离理论，提出一个包含输入、机制、实践与结果的三层框架，并推导出七个可检验命题。研究主要情境为南非小学1—7年级及低带宽、以异步为主的ODeL环境。文章不提供实证效果数据，而是提出ODeL教师专业发展是教师主导人机协作支持学生数学问题解决的使能条件，而非效果保证。</w:t>
      </w:r>
    </w:p>
    <w:p>
      <w:pPr>
        <w:pStyle w:val="Heading3"/>
      </w:pPr>
      <w:r>
        <w:t>研究主要内容</w:t>
      </w:r>
    </w:p>
    <w:p>
      <w:r>
        <w:t>文章指出，AI工具日益进入小学数学课堂，其教育价值取决于教师如何使用。已有AI-TPACK、teacher-in-the-loop、人本AI与课堂编排研究分别解释教师知识、控制分配和课堂协调，但尚缺乏理论说明ODeL教师专业发展如何建构教师能力，并在AI支架学生问题解决时转化为课堂实践。作者将四种理论视角置于多层元模型中：教师层面的Intelligent-TPACK、互动与课堂层面的最近发展区支架和社会建构主义、学习者层面的Polya启发式，以及项目层面的交互距离理论。在此基础上提出三层框架，区分输入、机制、实践与结果，并形成七个可检验命题，涉及教师编排的中介作用、基础设施准备度、学习者年龄、语言和AI类型等调节变量，以及治理和儿童权利等跨层边界条件。文章最后提出面向教师教育者、政策制定者、学校领导者、研究者和学习者的实施与评价指标。</w:t>
      </w:r>
    </w:p>
    <w:p>
      <w:pPr>
        <w:pStyle w:val="Heading3"/>
      </w:pPr>
      <w:r>
        <w:t>研究论点</w:t>
      </w:r>
    </w:p>
    <w:p>
      <w:r>
        <w:t>核心论点是：设计良好的ODeL教师专业发展可以成为教师促进小学人机协作数学问题解决的使能条件，但不是效果保证；需要通过明确的机制、边界条件和多层分析框架来解释专业发展如何转化为课堂实践与学生学习结果。</w:t>
      </w:r>
    </w:p>
    <w:p>
      <w:pPr>
        <w:pStyle w:val="Heading3"/>
      </w:pPr>
      <w:r>
        <w:t>研究问题</w:t>
      </w:r>
    </w:p>
    <w:p>
      <w:r>
        <w:t>通过哪些机制、在哪些条件下，基于ODeL的教师专业发展可以被期望促成教师主导的人机协作，并支持小学学习者的数学问题解决？</w:t>
      </w:r>
    </w:p>
    <w:p>
      <w:pPr>
        <w:pStyle w:val="Heading3"/>
      </w:pPr>
      <w:r>
        <w:t>研究方法</w:t>
      </w:r>
    </w:p>
    <w:p>
      <w:r>
        <w:t>研究类型：概念分析/理论研究，非定量或定性实证研究；采用整合性文献综述与理论综合。样本或参与者：无人类参与者；分析对象为同行评议文献及部分选定灰色文献。数据来源：结构化数据库检索获得的文献与灰色文献，按预设标准筛选。分析方法：对文献中的构念、机制和边界条件进行编码，并按分析层次组织，进而进行理论综合，构建多层元模型、三层框架并提出七个可检验命题。摘要未说明具体数据库、检索式、纳入文献数量、编码信度及文献质量评价等细节。</w:t>
      </w:r>
    </w:p>
    <w:p>
      <w:pPr>
        <w:pStyle w:val="Heading3"/>
      </w:pPr>
      <w:r>
        <w:t>主要发现</w:t>
      </w:r>
    </w:p>
    <w:p>
      <w:r>
        <w:t>第一，文章提出一个区分输入、机制、实践与结果的三层ODeL教师专业发展框架，并将Intelligent-TPACK、最近发展区与社会建构主义、Polya启发式和交互距离理论分别定位于教师、互动/课堂、学习者和项目层面。第二，文章推导出七个可检验命题，包括教师课堂编排在AI-TPACK与支架质量之间起中介作用，基础设施准备度、学习者年龄、语言和AI类型等起调节作用，治理与儿童权利构成跨层边界条件。第三，文章主张ODeL教师专业发展是教师主导人机协作支持小学数 学问题解决的使能条件而非效果保证，并提出面向教师教育者、政策制定者、学校领导者、研究者和学习者的实施与评价指标。</w:t>
      </w:r>
    </w:p>
    <w:p>
      <w:pPr>
        <w:pStyle w:val="Heading3"/>
      </w:pPr>
      <w:r>
        <w:t>对教师教育研究的启示</w:t>
      </w:r>
    </w:p>
    <w:p>
      <w:r>
        <w:t>对教师教育研究而言，该文提供了一个可检验的多层概念框架，提示研究者不要只测量教师AI知识或态度，而应追踪专业发展输入如何经由教师编排、支架实践等机制影响学生学习，并同时考察基础设施、学习者年龄、语言、AI类型及治理与儿童权利等边界条件。研究设计上可据此开展纵向追踪、准实验或多层路径分析，收集教师层面、课堂互动层面、学习者层面和项目层面的数据；分析方法可围绕中介与调节效应、实施保真度和评价指标展开。需要注意，该文本身为概念分析，摘要未提供实证效果数据，具体数据库、检索式和纳入文献数量等也未说明。</w:t>
      </w:r>
    </w:p>
    <w:p>
      <w:pPr>
        <w:pStyle w:val="Heading3"/>
      </w:pPr>
      <w:r>
        <w:t>APA引用格式</w:t>
      </w:r>
    </w:p>
    <w:p>
      <w:r>
        <w:t>Dibane, Z. (2026). An ODeL-based teacher professional development framework for teacher-facilitated human–AI collaboration in primary mathematics problem-solving: A conceptual analysis. Frontiers in Artificial Intelligence. https://doi.org/10.3389/frai.2026.1970792</w:t>
      </w:r>
    </w:p>
    <w:p>
      <w:r>
        <w:br w:type="page"/>
      </w:r>
    </w:p>
    <w:p>
      <w:pPr>
        <w:pStyle w:val="Heading2"/>
      </w:pPr>
      <w:r>
        <w:t>2. Transforming Global Early Childhood Education Through Artificial Intelligence: Addressing Teacher Shortages, Inequality, and Quality Gaps in Early Learning Systems / 通过人工智能变革全球早期儿童教育：应对早期学习系统中的教师短缺、不平等与质量差距</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Transforming Global Early Childhood Education Through Artificial Intelligence: Addressing Teacher Shortages, Inequality, and Quality Gaps in Early Learning Systems / 通过人工智能变革全球早期儿童教育：应对早期学习系统中的教师短缺、不平等与质量差距</w:t>
            </w:r>
          </w:p>
        </w:tc>
      </w:tr>
      <w:tr>
        <w:tc>
          <w:tcPr>
            <w:tcW w:type="dxa" w:w="4997"/>
          </w:tcPr>
          <w:p>
            <w:r>
              <w:rPr>
                <w:b/>
              </w:rPr>
              <w:t>作者</w:t>
            </w:r>
          </w:p>
        </w:tc>
        <w:tc>
          <w:tcPr>
            <w:tcW w:type="dxa" w:w="4997"/>
          </w:tcPr>
          <w:p>
            <w:r>
              <w:t>Saba Munawar（单一作者）</w:t>
            </w:r>
          </w:p>
        </w:tc>
      </w:tr>
      <w:tr>
        <w:tc>
          <w:tcPr>
            <w:tcW w:type="dxa" w:w="4997"/>
          </w:tcPr>
          <w:p>
            <w:r>
              <w:rPr>
                <w:b/>
              </w:rPr>
              <w:t>期刊及影响因子</w:t>
            </w:r>
          </w:p>
        </w:tc>
        <w:tc>
          <w:tcPr>
            <w:tcW w:type="dxa" w:w="4997"/>
          </w:tcPr>
          <w:p>
            <w:r>
              <w:t>白名单未提供影响因子；白名单未提供JCR分区；SSCI分类为Interdisciplinary, Social Sciences。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JOHNS HOPKINS UNIV PRESS</w:t>
            </w:r>
          </w:p>
        </w:tc>
      </w:tr>
      <w:tr>
        <w:tc>
          <w:tcPr>
            <w:tcW w:type="dxa" w:w="4997"/>
          </w:tcPr>
          <w:p>
            <w:r>
              <w:rPr>
                <w:b/>
              </w:rPr>
              <w:t>卷期/DOI</w:t>
            </w:r>
          </w:p>
        </w:tc>
        <w:tc>
          <w:tcPr>
            <w:tcW w:type="dxa" w:w="4997"/>
          </w:tcPr>
          <w:p>
            <w:r>
              <w:t>卷期未说明；DOI: 10.63539/isrn.2026027</w:t>
            </w:r>
          </w:p>
        </w:tc>
      </w:tr>
      <w:tr>
        <w:tc>
          <w:tcPr>
            <w:tcW w:type="dxa" w:w="4997"/>
          </w:tcPr>
          <w:p>
            <w:r>
              <w:rPr>
                <w:b/>
              </w:rPr>
              <w:t>在线发表时间</w:t>
            </w:r>
          </w:p>
        </w:tc>
        <w:tc>
          <w:tcPr>
            <w:tcW w:type="dxa" w:w="4997"/>
          </w:tcPr>
          <w:p>
            <w:r>
              <w:t>2026-10-23（元数据标注为发表日期；在线日期摘要未说明）</w:t>
            </w:r>
          </w:p>
        </w:tc>
      </w:tr>
      <w:tr>
        <w:tc>
          <w:tcPr>
            <w:tcW w:type="dxa" w:w="4997"/>
          </w:tcPr>
          <w:p>
            <w:r>
              <w:rPr>
                <w:b/>
              </w:rPr>
              <w:t>SSCI分类</w:t>
            </w:r>
          </w:p>
        </w:tc>
        <w:tc>
          <w:tcPr>
            <w:tcW w:type="dxa" w:w="4997"/>
          </w:tcPr>
          <w:p>
            <w:r>
              <w:t>Interdisciplinary；Social Sciences</w:t>
            </w:r>
          </w:p>
        </w:tc>
      </w:tr>
      <w:tr>
        <w:tc>
          <w:tcPr>
            <w:tcW w:type="dxa" w:w="4997"/>
          </w:tcPr>
          <w:p>
            <w:r>
              <w:rPr>
                <w:b/>
              </w:rPr>
              <w:t>论文链接</w:t>
            </w:r>
          </w:p>
        </w:tc>
        <w:tc>
          <w:tcPr>
            <w:tcW w:type="dxa" w:w="4997"/>
          </w:tcPr>
          <w:p>
            <w:hyperlink r:id="rId10">
              <w:r>
                <w:rPr>
                  <w:color w:val="0563C1"/>
                  <w:u w:val="single"/>
                </w:rPr>
                <w:t>https://doi.org/10.63539/isrn.2026027</w:t>
              </w:r>
            </w:hyperlink>
          </w:p>
        </w:tc>
      </w:tr>
    </w:tbl>
    <w:p>
      <w:pPr>
        <w:pStyle w:val="Heading3"/>
      </w:pPr>
      <w:r>
        <w:t>研究摘要</w:t>
      </w:r>
    </w:p>
    <w:p>
      <w:r>
        <w:t>本研究考察人工智能支持早期儿童教育以应对劳动力压力、不平等和质量相关挑战的潜力，并识别负责任使用AI所需的组织、教学与伦理条件。研究采用解释主义质性设计，对澳大利亚悉尼早期儿童教育机构的22名参与者（8名园长/负责人和14名早期儿童教师）进行半结构化面对面访谈，并通过归纳主题分析提炼出六个相互关联的主题。参与者认为AI可支持规划、文档、翻译、行政和个性化学习，从而释放时间用于有意义的师幼互动；但他们强调AI不能解决结构性劳动力短缺，也不能替代教师的关系性、专业性和儿童保护角色。研究贡献在于将劳动力、公平、学习质量与负责任AI采用纳入同一早期儿童教育实证框架，并强调以人为本的实施必要性。</w:t>
      </w:r>
    </w:p>
    <w:p>
      <w:pPr>
        <w:pStyle w:val="Heading3"/>
      </w:pPr>
      <w:r>
        <w:t>研究主要内容</w:t>
      </w:r>
    </w:p>
    <w:p>
      <w:r>
        <w:t>论文聚焦AI在全球早期儿童教育中应对教师短缺、不平等和学习质量差距的潜在作用，同时讨论负责任AI采用的条件。研究基于澳大利亚悉尼早期儿童教育机构中园长/负责人与教师的访谈数据，分析参与者对AI意识与准备度、AI作为教师支持工具、AI与公平、AI与学习质量以及负责任AI采用的看法。论文主张AI应定位于支持教师而非替代教师，并强调结构性劳动力问题不能仅靠技术解决。</w:t>
      </w:r>
    </w:p>
    <w:p>
      <w:pPr>
        <w:pStyle w:val="Heading3"/>
      </w:pPr>
      <w:r>
        <w:t>研究论点</w:t>
      </w:r>
    </w:p>
    <w:p>
      <w:r>
        <w:t>AI可以作为早期儿童教育中支持教师规划、行政、沟通和个性化学习的工具，并可能释放教师时间以增加有意义的师幼互动；但AI不能解决结构性教师短缺，也不能取代教师的关系性、专业性和儿童保护角色。因此，AI采用必须以人为本，并满足组织、教学和伦理条件。</w:t>
      </w:r>
    </w:p>
    <w:p>
      <w:pPr>
        <w:pStyle w:val="Heading3"/>
      </w:pPr>
      <w:r>
        <w:t>研究问题</w:t>
      </w:r>
    </w:p>
    <w:p>
      <w:r>
        <w:t>摘要未以问句明确列出研究问题；基于摘要，研究旨在考察AI支持早期儿童教育应对劳动力压力、不平等和质量挑战的潜力，并识别负责任使用AI所需的组织、教学与伦理条件。</w:t>
      </w:r>
    </w:p>
    <w:p>
      <w:pPr>
        <w:pStyle w:val="Heading3"/>
      </w:pPr>
      <w:r>
        <w:t>研究方法</w:t>
      </w:r>
    </w:p>
    <w:p>
      <w:r>
        <w:t>研究类型：解释主义质性研究。样本与参与者：澳大利亚悉尼早期儿童教育机构的22名参与者，包括8名园长/负责人（head teachers）和14名早期儿童教师；抽样策略摘要未说明。数据来源：半结构化面对面访谈。分析方法：归纳主题分析，提炼出六个相互关联主题。定量数据、访谈时长、编码软件及研究者立场等摘要未说明。</w:t>
      </w:r>
    </w:p>
    <w:p>
      <w:pPr>
        <w:pStyle w:val="Heading3"/>
      </w:pPr>
      <w:r>
        <w:t>主要发现</w:t>
      </w:r>
    </w:p>
    <w:p>
      <w:r>
        <w:t>1. 归纳主题分析形成六个相互关联主题：劳动力与运营挑战；AI意识与准备度；AI作为教师支持而非替代；AI与公平；AI与学习质量；负责任AI采用。2. 参与者认为AI可支持规划、文档、翻译、行政和个性化学习，从而释放时间用于有意义的师幼互动。3. 参与者强调AI不能解决结构性劳动力短缺，也不能替代教师的关系性、专业性和儿童保护角色；负责任AI采用需要组织、教学和伦理条件，并应坚持以人为本。</w:t>
      </w:r>
    </w:p>
    <w:p>
      <w:pPr>
        <w:pStyle w:val="Heading3"/>
      </w:pPr>
      <w:r>
        <w:t>对教师教育研究的启示</w:t>
      </w:r>
    </w:p>
    <w:p>
      <w:r>
        <w:t>对教师教育研究而言，本文将AI定位为教师支持工具而非替代者，提示教师教育应重视AI素养、数据素养、伦理判断、公平意识与儿童保护责任，并关注园长/负责人和教师的多角色视角。研究设计上，可借鉴解释主义质性访谈与归纳主题分析，但需更完整报告抽样策略、访谈实施和编码过程。未来教师教育研究可采用纵向和混合方法，在不同情境中评估AI对教师工作量、儿童结果、公平与政策实施的影响，并将组织条件、教学条件与伦理条件纳入研究框架。</w:t>
      </w:r>
    </w:p>
    <w:p>
      <w:pPr>
        <w:pStyle w:val="Heading3"/>
      </w:pPr>
      <w:r>
        <w:t>APA引用格式</w:t>
      </w:r>
    </w:p>
    <w:p>
      <w:r>
        <w:t>Munawar, S. (2026). Transforming global early childhood education through artificial intelligence: Addressing teacher shortages, inequality, and quality gaps in early learning systems. International Social Research Nexus. https://doi.org/10.63539/isrn.2026027</w:t>
      </w:r>
    </w:p>
    <w:p>
      <w:r>
        <w:br w:type="page"/>
      </w:r>
    </w:p>
    <w:p>
      <w:pPr>
        <w:pStyle w:val="Heading2"/>
      </w:pPr>
      <w:r>
        <w:t>3. Application Research of VSS Teaching System Based on BS Architecture in Practical Teaching of Water Conservancy Professional Courses / 基于BS架构的VSS教学系统在水利专业课程实践教学中的应用研究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Application Research of VSS Teaching System Based on BS Architecture in Practical Teaching of Water Conservancy Professional Courses / 基于BS架构的VSS教学系统在水利专业课程实践教学中的应用研究</w:t>
            </w:r>
          </w:p>
        </w:tc>
      </w:tr>
      <w:tr>
        <w:tc>
          <w:tcPr>
            <w:tcW w:type="dxa" w:w="4997"/>
          </w:tcPr>
          <w:p>
            <w:r>
              <w:rPr>
                <w:b/>
              </w:rPr>
              <w:t>作者</w:t>
            </w:r>
          </w:p>
        </w:tc>
        <w:tc>
          <w:tcPr>
            <w:tcW w:type="dxa" w:w="4997"/>
          </w:tcPr>
          <w:p>
            <w:r>
              <w:t>Yuqiang Wang, Miaoyan Liu, Rifeng Xia, Wanling Wu, Xinhui Ju, Shiang Mei</w:t>
            </w:r>
          </w:p>
        </w:tc>
      </w:tr>
      <w:tr>
        <w:tc>
          <w:tcPr>
            <w:tcW w:type="dxa" w:w="4997"/>
          </w:tcPr>
          <w:p>
            <w:r>
              <w:rPr>
                <w:b/>
              </w:rPr>
              <w:t>期刊及影响因子</w:t>
            </w:r>
          </w:p>
        </w:tc>
        <w:tc>
          <w:tcPr>
            <w:tcW w:type="dxa" w:w="4997"/>
          </w:tcPr>
          <w:p>
            <w:r>
              <w:t>期刊：Water；SSCI分类：Environmental Studies；影响因子：白名单未提供；JCR分区：白名单未提供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WATER ALTERNATIVES ASSOC</w:t>
            </w:r>
          </w:p>
        </w:tc>
      </w:tr>
      <w:tr>
        <w:tc>
          <w:tcPr>
            <w:tcW w:type="dxa" w:w="4997"/>
          </w:tcPr>
          <w:p>
            <w:r>
              <w:rPr>
                <w:b/>
              </w:rPr>
              <w:t>卷期/DOI</w:t>
            </w:r>
          </w:p>
        </w:tc>
        <w:tc>
          <w:tcPr>
            <w:tcW w:type="dxa" w:w="4997"/>
          </w:tcPr>
          <w:p>
            <w:r>
              <w:t>卷期：元数据未提供；DOI：https://doi.org/10.3390/w18202626</w:t>
            </w:r>
          </w:p>
        </w:tc>
      </w:tr>
      <w:tr>
        <w:tc>
          <w:tcPr>
            <w:tcW w:type="dxa" w:w="4997"/>
          </w:tcPr>
          <w:p>
            <w:r>
              <w:rPr>
                <w:b/>
              </w:rPr>
              <w:t>在线发表时间</w:t>
            </w:r>
          </w:p>
        </w:tc>
        <w:tc>
          <w:tcPr>
            <w:tcW w:type="dxa" w:w="4997"/>
          </w:tcPr>
          <w:p>
            <w:r>
              <w:t>2026-10-21</w:t>
            </w:r>
          </w:p>
        </w:tc>
      </w:tr>
      <w:tr>
        <w:tc>
          <w:tcPr>
            <w:tcW w:type="dxa" w:w="4997"/>
          </w:tcPr>
          <w:p>
            <w:r>
              <w:rPr>
                <w:b/>
              </w:rPr>
              <w:t>SSCI分类</w:t>
            </w:r>
          </w:p>
        </w:tc>
        <w:tc>
          <w:tcPr>
            <w:tcW w:type="dxa" w:w="4997"/>
          </w:tcPr>
          <w:p>
            <w:r>
              <w:t>Environmental Studies</w:t>
            </w:r>
          </w:p>
        </w:tc>
      </w:tr>
      <w:tr>
        <w:tc>
          <w:tcPr>
            <w:tcW w:type="dxa" w:w="4997"/>
          </w:tcPr>
          <w:p>
            <w:r>
              <w:rPr>
                <w:b/>
              </w:rPr>
              <w:t>论文链接</w:t>
            </w:r>
          </w:p>
        </w:tc>
        <w:tc>
          <w:tcPr>
            <w:tcW w:type="dxa" w:w="4997"/>
          </w:tcPr>
          <w:p>
            <w:hyperlink r:id="rId11">
              <w:r>
                <w:rPr>
                  <w:color w:val="0563C1"/>
                  <w:u w:val="single"/>
                </w:rPr>
                <w:t>https://doi.org/10.3390/w18202626</w:t>
              </w:r>
            </w:hyperlink>
          </w:p>
        </w:tc>
      </w:tr>
    </w:tbl>
    <w:p>
      <w:pPr>
        <w:pStyle w:val="Heading3"/>
      </w:pPr>
      <w:r>
        <w:t>研究摘要</w:t>
      </w:r>
    </w:p>
    <w:p>
      <w:r>
        <w:t>论文针对水利工程专业实践教学中的时空限制及毕业生能力与行业需求错位问题，开发基于浏览器—服务器（BS）架构的VSS教学系统，介绍系统架构、核心功能模块与教学优势，并从在校学生、教师、校友和用人单位四类利益相关者视角开展定向问卷调查进行实证评估。结果显示四类群体均对轻量化VSS系统的教学效果持积极态度，其中教师认可度最高；调查还显示该系统在支持学生工程实践、分析判断及毕业生岗位适应方面获得总体积极评价。研究认为BS架构VSS系统可有效突破水利实践教育的关键瓶颈，并提出融合数字孪生与人工智能以深化数字化教学改革的路径。该研究属于高等工程教育场景，摘要未说明涉及学前教育或基础教育阶段。</w:t>
      </w:r>
    </w:p>
    <w:p>
      <w:pPr>
        <w:pStyle w:val="Heading3"/>
      </w:pPr>
      <w:r>
        <w:t>研究主要内容</w:t>
      </w:r>
    </w:p>
    <w:p>
      <w:r>
        <w:t>论文聚焦水利工程专业课程实践教学，提出并设计基于BS架构的VSS教学系统，呈现系统架构和核心功能模块设计，讨论其教学优势。实证部分通过面向在校学生、教师、校友和用人单位四类利益相关者的定向调查，评估系统教学效果及其对学生工程实践、分析判断和毕业生岗位适应的支持情况。研究还讨论数字孪生与人工智能技术用于深化数字化实践教学改革的可能路径。需要说明：摘要未说明研究对象处于学前教育、小学或初中阶段；其教育阶段为高等工程教育，主题与用户限定的学前教育及基础教育AI教学应用、教师数字素养等不完全匹配。</w:t>
      </w:r>
    </w:p>
    <w:p>
      <w:pPr>
        <w:pStyle w:val="Heading3"/>
      </w:pPr>
      <w:r>
        <w:t>研究论点</w:t>
      </w:r>
    </w:p>
    <w:p>
      <w:r>
        <w:t>作者的核心论点是：基于BS架构的轻量化VSS教学系统能够缓解水利工程实践教学中的时空约束，并改善毕业生能力与行业需求之间的错位；四类利益相关者的调查结果为该系统教学效果提供了实证支持，且未来可通过数字孪生和人工智能进一步推进数字化实践教学改革。</w:t>
      </w:r>
    </w:p>
    <w:p>
      <w:pPr>
        <w:pStyle w:val="Heading3"/>
      </w:pPr>
      <w:r>
        <w:t>研究问题</w:t>
      </w:r>
    </w:p>
    <w:p>
      <w:r>
        <w:t>摘要未明确列出研究问题。根据摘要可归纳为：基于BS架构的VSS教学系统如何设计与应用于水利工程专业课程实践教学，其系统架构与核心功能模块有何教学优势，以及学生、教师、校友和用人单位四类利益相关者如何评价其教学效果与支持工程实践、分析判断和岗位适应的作用。</w:t>
      </w:r>
    </w:p>
    <w:p>
      <w:pPr>
        <w:pStyle w:val="Heading3"/>
      </w:pPr>
      <w:r>
        <w:t>研究方法</w:t>
      </w:r>
    </w:p>
    <w:p>
      <w:r>
        <w:t>研究类型：系统开发与问卷调查相结合的实证评估；摘要未明确说明属于定量、定性还是混合方法研究。样本/参与者：在校学生、教师、校友和用人单位四类利益相关者；各类别人数、抽样方式和总样本量摘要未说明。数据来源：围绕四类利益相关者开展的定向问卷调查（targeted surveys）；问卷内容、题项、量表与信效度摘要未说明。分析方法：摘要仅报告调查结果与总体评价，未说明具体统计分析方法（如描述统计、差异检验、回归等），亦未说明定性资料分析方式。研究场景：水利工程专业课程实践教学，属于高等工程教育，非学前教育或基础教育。</w:t>
      </w:r>
    </w:p>
    <w:p>
      <w:pPr>
        <w:pStyle w:val="Heading3"/>
      </w:pPr>
      <w:r>
        <w:t>主要发现</w:t>
      </w:r>
    </w:p>
    <w:p>
      <w:r>
        <w:t>1）四类利益相关者（在校学生、教师、校友、用人单位）均对轻量化VSS系统的教学效果持积极看法，其中教师认可度最高。2）调查结果显示，VSS系统在支持学生工程实践、分析判断以及毕业生岗位适应方面获得总体积极评价。3）研究认为基于BS架构的VSS系统能够有效克服水利实践教育中的关键瓶颈（如时空限制与能力—行业需求错位），并提出通过融合数字孪生和人工智能深化数字化教学改革的路径。</w:t>
      </w:r>
    </w:p>
    <w:p>
      <w:pPr>
        <w:pStyle w:val="Heading3"/>
      </w:pPr>
      <w:r>
        <w:t>对教师教育研究的启示</w:t>
      </w:r>
    </w:p>
    <w:p>
      <w:r>
        <w:t>该文对教师教育研究的直接相关性有限：摘要未说明其涉及学前教育、基础教育或教师数字素养/智能素养/数据素养，研究对象为水利工程专业高等工程教育。方法层面可供迁移的启示是：采用“系统设计+多利益相关者问卷评估”的实证路径，同时收集学生、教师、校友和用人单位感知，以检验教学系统的实践效果与岗位适应支持；若用于教师教育研究，可借鉴其多主体评价设计，但需补充样本量、抽样、问卷信效度与统计分析等关键信息。主题层面，论文提出的数字孪生与AI融合路径可作为教育数字化教学改革的前沿线索，但不能据此推断学前教育或基础教育教师培训中的AI整合效果。</w:t>
      </w:r>
    </w:p>
    <w:p>
      <w:pPr>
        <w:pStyle w:val="Heading3"/>
      </w:pPr>
      <w:r>
        <w:t>APA引用格式</w:t>
      </w:r>
    </w:p>
    <w:p>
      <w:r>
        <w:t>Wang, Y., Liu, M., Xia, R., Wu, W., Ju, X., &amp; Mei, S. (2026). Application research of VSS teaching system based on BS architecture in practical teaching of water conservancy professional courses. Water. https://doi.org/10.3390/w18202626</w:t>
      </w:r>
    </w:p>
    <w:p>
      <w:r>
        <w:br w:type="page"/>
      </w:r>
    </w:p>
    <w:p>
      <w:pPr>
        <w:pStyle w:val="Heading2"/>
      </w:pPr>
      <w:r>
        <w:t>4. Validating automated complexity, accuracy, and fluency metrics for L2 writing analysis / 验证用于二语写作分析的自动化复杂度、准确度与流利度指标</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Validating automated complexity, accuracy, and fluency metrics for L2 writing analysis / 验证用于二语写作分析的自动化复杂度、准确度与流利度指标</w:t>
            </w:r>
          </w:p>
        </w:tc>
      </w:tr>
      <w:tr>
        <w:tc>
          <w:tcPr>
            <w:tcW w:type="dxa" w:w="4997"/>
          </w:tcPr>
          <w:p>
            <w:r>
              <w:rPr>
                <w:b/>
              </w:rPr>
              <w:t>作者</w:t>
            </w:r>
          </w:p>
        </w:tc>
        <w:tc>
          <w:tcPr>
            <w:tcW w:type="dxa" w:w="4997"/>
          </w:tcPr>
          <w:p>
            <w:r>
              <w:t>Thomas Dillon</w:t>
            </w:r>
          </w:p>
        </w:tc>
      </w:tr>
      <w:tr>
        <w:tc>
          <w:tcPr>
            <w:tcW w:type="dxa" w:w="4997"/>
          </w:tcPr>
          <w:p>
            <w:r>
              <w:rPr>
                <w:b/>
              </w:rPr>
              <w:t>期刊及影响因子</w:t>
            </w:r>
          </w:p>
        </w:tc>
        <w:tc>
          <w:tcPr>
            <w:tcW w:type="dxa" w:w="4997"/>
          </w:tcPr>
          <w:p>
            <w:r>
              <w:t>SSCI分类：Clinical, Psychology；影响因子/分区：白名单未提供影响因子，白名单未提供JCR分区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卷期未说明；DOI: 10.29140/lea.2026.105239</w:t>
            </w:r>
          </w:p>
        </w:tc>
      </w:tr>
      <w:tr>
        <w:tc>
          <w:tcPr>
            <w:tcW w:type="dxa" w:w="4997"/>
          </w:tcPr>
          <w:p>
            <w:r>
              <w:rPr>
                <w:b/>
              </w:rPr>
              <w:t>在线发表时间</w:t>
            </w:r>
          </w:p>
        </w:tc>
        <w:tc>
          <w:tcPr>
            <w:tcW w:type="dxa" w:w="4997"/>
          </w:tcPr>
          <w:p>
            <w:r>
              <w:t>2026-10-23</w:t>
            </w:r>
          </w:p>
        </w:tc>
      </w:tr>
      <w:tr>
        <w:tc>
          <w:tcPr>
            <w:tcW w:type="dxa" w:w="4997"/>
          </w:tcPr>
          <w:p>
            <w:r>
              <w:rPr>
                <w:b/>
              </w:rPr>
              <w:t>SSCI分类</w:t>
            </w:r>
          </w:p>
        </w:tc>
        <w:tc>
          <w:tcPr>
            <w:tcW w:type="dxa" w:w="4997"/>
          </w:tcPr>
          <w:p>
            <w:r>
              <w:t>Clinical；Psychology</w:t>
            </w:r>
          </w:p>
        </w:tc>
      </w:tr>
      <w:tr>
        <w:tc>
          <w:tcPr>
            <w:tcW w:type="dxa" w:w="4997"/>
          </w:tcPr>
          <w:p>
            <w:r>
              <w:rPr>
                <w:b/>
              </w:rPr>
              <w:t>论文链接</w:t>
            </w:r>
          </w:p>
        </w:tc>
        <w:tc>
          <w:tcPr>
            <w:tcW w:type="dxa" w:w="4997"/>
          </w:tcPr>
          <w:p>
            <w:hyperlink r:id="rId12">
              <w:r>
                <w:rPr>
                  <w:color w:val="0563C1"/>
                  <w:u w:val="single"/>
                </w:rPr>
                <w:t>https://doi.org/10.29140/lea.2026.105239</w:t>
              </w:r>
            </w:hyperlink>
          </w:p>
        </w:tc>
      </w:tr>
    </w:tbl>
    <w:p>
      <w:pPr>
        <w:pStyle w:val="Heading3"/>
      </w:pPr>
      <w:r>
        <w:t>研究摘要</w:t>
      </w:r>
    </w:p>
    <w:p>
      <w:r>
        <w:t>本研究评估自动化复杂度、准确度与流利度（CAF）指标在AI辅助二语写作分析中的构念效度。随着自动化反馈和学习者分析日益依赖计算指标大规模评价学习者文本，在 pedagogical 或纵向使用前需确认这些指标能否支持可辩护的解释。研究使用1,000篇韩国EFL学习者文本及其由微调语法纠错模型生成的最小修正文本，在结构方程模型框架下检验候选CAF指标。准确度以GLEU和编辑/错误计数操作化，流利度以原始困惑度（PPL）和ΔPPL操作化，复杂度采用选定L2SCA指标。GLEU与编辑/错误计数收敛但冗余，支持GLEU作为单一准确度观测指标；原始PPL与ΔPPL单独收敛，但其潜流利度设定在完整模型中不可接受；MLT、MLC、CN/C构成的三指标复杂度因子结构稳定。最终可接受SEM中，ΔPPL与GLEU协变更强，原始PPL与复杂度协变更强，显示修正归一化流利度与构念分离之间的权衡。研究支持精简框架，并提示需在纵向建模中进一步比较PPL与ΔPPL。</w:t>
      </w:r>
    </w:p>
    <w:p>
      <w:pPr>
        <w:pStyle w:val="Heading3"/>
      </w:pPr>
      <w:r>
        <w:t>研究主要内容</w:t>
      </w:r>
    </w:p>
    <w:p>
      <w:r>
        <w:t>论文评估自动化复杂度、准确度、流利度（CAF）指标在AI辅助二语写作分析中的构念效度。研究使用1,000篇韩国EFL学习者文本及经微调语法纠错模型生成的最小修正文本，在SEM框架下考察候选CAF指标。准确度用GLEU和编辑/错误计数，流利度用原始PPL和ΔPPL，复杂度用L2SCA指标。结果显示准确度指标收敛但冗余，流利度潜变量在完整模型中不可接受，复杂度三指标结构稳定；最终模型支持精简框架。摘要未说明教育阶段，不能判断是否涉及学前或基础教育；该文不属于学前或基础教育课堂研究。</w:t>
      </w:r>
    </w:p>
    <w:p>
      <w:pPr>
        <w:pStyle w:val="Heading3"/>
      </w:pPr>
      <w:r>
        <w:t>研究论点</w:t>
      </w:r>
    </w:p>
    <w:p>
      <w:r>
        <w:t>在自动化反馈和学习者分析大规模依赖计算指标之前，必须先检验这些指标是否支持可辩护的解释；本研究以SEM检验CAF指标的构念效度，主张采用精简且可接受的指标框架，并进一步比较PPL与ΔPPL。</w:t>
      </w:r>
    </w:p>
    <w:p>
      <w:pPr>
        <w:pStyle w:val="Heading3"/>
      </w:pPr>
      <w:r>
        <w:t>研究问题</w:t>
      </w:r>
    </w:p>
    <w:p>
      <w:r>
        <w:t>摘要未明确列出研究问题；可归纳为：自动化CAF指标在AI辅助二语写作分析中是否具有构念效度，候选指标能否在SEM中形成可接受的测量结构，以及PPL与ΔPPL等流利度指标在模型中的表现如何。</w:t>
      </w:r>
    </w:p>
    <w:p>
      <w:pPr>
        <w:pStyle w:val="Heading3"/>
      </w:pPr>
      <w:r>
        <w:t>研究方法</w:t>
      </w:r>
    </w:p>
    <w:p>
      <w:r>
        <w:t>研究类型：定量、横断面构念效度研究。样本/数据：1,000篇韩国EFL学习者文本及其由微调语法纠错模型生成的最小修正对应文本；摘要未说明学习者教育阶段、人口学信息及抽样细节。数据来源：学习者文本与模型修正文本。分析方法：结构方程模型（SEM）；准确度用GLEU与编辑/错误计数，流利度用原始困惑度PPL与ΔPPL，复杂度用选定L2SCA指标（MLT、MLC、CN/C）；检验指标收敛、潜变量测量结构与最终可接受SEM。摘要未说明具体软件、拟合指标与信效度阈值。</w:t>
      </w:r>
    </w:p>
    <w:p>
      <w:pPr>
        <w:pStyle w:val="Heading3"/>
      </w:pPr>
      <w:r>
        <w:t>主要发现</w:t>
      </w:r>
    </w:p>
    <w:p>
      <w:r>
        <w:t>1）GLEU与编辑/错误计数收敛但冗余，支持GLEU作为单一观测准确度指标。2）原始PPL与ΔPPL单独收敛，但其潜流利度设定在完整模型中不可接受，说明流利度测量结构存在问题。3）MLT、MLC、CN/C构成的三指标复杂度因子稳定；最终可接受SEM中ΔPPL与GLEU协变更强，原始PPL与复杂度协变更强，显示修正归一化流利度与构念分离之间的权衡，并提示需纵向比较PPL与ΔPPL。</w:t>
      </w:r>
    </w:p>
    <w:p>
      <w:pPr>
        <w:pStyle w:val="Heading3"/>
      </w:pPr>
      <w:r>
        <w:t>对教师教育研究的启示</w:t>
      </w:r>
    </w:p>
    <w:p>
      <w:r>
        <w:t>该文不涉及教师教育干预、教师数字素养培训或学前/基础教育样本，直接启示有限；其方法启示是：教师教育研究在引入AI写作分析、课堂学习分析和智能反馈指标时，应先检验指标的构念效度、冗余性与模型可接受性，并在教师数据素养/智能素养培训中强调指标解释边界。研究设计上可借鉴其横断面大样本文本加模型生成对照文本加SEM的验证路径；数据收集上需同时保留学习者原文与模型修正文本；分析上可比较原始与归一化指标（如PPL与ΔPPL）在潜变量模型中的表现，并开展纵向验证。摘要未说明教育阶段，不能据此推断学前教育或基础教育结论。</w:t>
      </w:r>
    </w:p>
    <w:p>
      <w:pPr>
        <w:pStyle w:val="Heading3"/>
      </w:pPr>
      <w:r>
        <w:t>APA引用格式</w:t>
      </w:r>
    </w:p>
    <w:p>
      <w:r>
        <w:t>Dillon, T. (2026). Validating automated complexity, accuracy, and fluency metrics for L2 writing analysis. Language Education &amp; Assessment. https://doi.org/10.29140/lea.2026.105239</w:t>
      </w:r>
    </w:p>
    <w:p>
      <w:r>
        <w:br w:type="page"/>
      </w:r>
    </w:p>
    <w:p>
      <w:pPr>
        <w:pStyle w:val="Heading2"/>
      </w:pPr>
      <w:r>
        <w:t>5. AI-DRIVEN, EVIDENCE-BASED GENERATIVE DESIGN: A TEACHING FRAMEWORK FOR LANDSCAPE ARCHITECTONICS INTEGRATING RESEARCH FINDINGS, DESIGN PRECEDENTS, AND INTELLIGENT RECOGNITION AND JUDGMENT / AI驱动、证据为本的生成式设计：整合研究成果、设计先例与智能识别判断的景观建筑学教学框架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AI-DRIVEN, EVIDENCE-BASED GENERATIVE DESIGN: A TEACHING FRAMEWORK FOR LANDSCAPE ARCHITECTONICS INTEGRATING RESEARCH FINDINGS, DESIGN PRECEDENTS, AND INTELLIGENT RECOGNITION AND JUDGMENT / AI驱动、证据为本的生成式设计：整合研究成果、设计先例与智能识别判断的景观建筑学教学框架</w:t>
            </w:r>
          </w:p>
        </w:tc>
      </w:tr>
      <w:tr>
        <w:tc>
          <w:tcPr>
            <w:tcW w:type="dxa" w:w="4997"/>
          </w:tcPr>
          <w:p>
            <w:r>
              <w:rPr>
                <w:b/>
              </w:rPr>
              <w:t>作者</w:t>
            </w:r>
          </w:p>
        </w:tc>
        <w:tc>
          <w:tcPr>
            <w:tcW w:type="dxa" w:w="4997"/>
          </w:tcPr>
          <w:p>
            <w:r>
              <w:t>LiHao Yao, Rui Zhang, ZiXin Liang</w:t>
            </w:r>
          </w:p>
        </w:tc>
      </w:tr>
      <w:tr>
        <w:tc>
          <w:tcPr>
            <w:tcW w:type="dxa" w:w="4997"/>
          </w:tcPr>
          <w:p>
            <w:r>
              <w:rPr>
                <w:b/>
              </w:rPr>
              <w:t>期刊及影响因子</w:t>
            </w:r>
          </w:p>
        </w:tc>
        <w:tc>
          <w:tcPr>
            <w:tcW w:type="dxa" w:w="4997"/>
          </w:tcPr>
          <w:p>
            <w:r>
              <w:t>World Journal of Educational Studies；SSCI分类：Education &amp; Educational Research；白名单未提供影响因子与JCR分区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卷期未说明；DOI：10.61784/wjes3213</w:t>
            </w:r>
          </w:p>
        </w:tc>
      </w:tr>
      <w:tr>
        <w:tc>
          <w:tcPr>
            <w:tcW w:type="dxa" w:w="4997"/>
          </w:tcPr>
          <w:p>
            <w:r>
              <w:rPr>
                <w:b/>
              </w:rPr>
              <w:t>在线发表时间</w:t>
            </w:r>
          </w:p>
        </w:tc>
        <w:tc>
          <w:tcPr>
            <w:tcW w:type="dxa" w:w="4997"/>
          </w:tcPr>
          <w:p>
            <w:r>
              <w:t>2026-10-23</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3">
              <w:r>
                <w:rPr>
                  <w:color w:val="0563C1"/>
                  <w:u w:val="single"/>
                </w:rPr>
                <w:t>https://doi.org/10.61784/wjes3213</w:t>
              </w:r>
            </w:hyperlink>
          </w:p>
        </w:tc>
      </w:tr>
    </w:tbl>
    <w:p>
      <w:pPr>
        <w:pStyle w:val="Heading3"/>
      </w:pPr>
      <w:r>
        <w:t>研究摘要</w:t>
      </w:r>
    </w:p>
    <w:p>
      <w:r>
        <w:t>该文以本科景观建筑学课程 Landscape Architectonics 为载体，构建一个整合研究成果、设计先例、AI识别与判断、AI生成的生成式设计教学框架。作者主张，教学生“使用AI”应理解为教学生运行一条受证据约束的生成式设计链，并提出“AI驱动”在工具层面与教学层面的双重含义。框架包含四类要素、三个阶段与三项设计原则，并以三个课堂示例说明其运作方式；论文聚焦框架建构，明确不报告学习结果数据。</w:t>
      </w:r>
    </w:p>
    <w:p>
      <w:pPr>
        <w:pStyle w:val="Heading3"/>
      </w:pPr>
      <w:r>
        <w:t>研究主要内容</w:t>
      </w:r>
    </w:p>
    <w:p>
      <w:r>
        <w:t>该文以本科景观建筑学课程 Landscape Architectonics 为课程载体，提出一个由四要素构成的生成式设计教学框架：研究成果、设计先例、AI识别与判断、AI生成。作者将研究成果视为“何为好”的标准来源，将设计先例视为“如何做”的示例来源，并把13份街道设计指南提炼为114个可检索的情境包；AI识别与AI生成则产生锚定具体场地的动态输出。学生通过“阅读场地—锚定语境—赋予形式”三个阶段调动这些要素，每一阶段由证据链约束。框架遵循互补要素、部分嵌入、显性判断三项原则，并以三个课堂示例说明运作方式。阶段提示：该文为本科课程教学框架，不属于学前教育或基础教育阶段，也不是教师数字素养或教师教育AI整合的实证研究；论文明确不报告学习结果数据。</w:t>
      </w:r>
    </w:p>
    <w:p>
      <w:pPr>
        <w:pStyle w:val="Heading3"/>
      </w:pPr>
      <w:r>
        <w:t>研究论点</w:t>
      </w:r>
    </w:p>
    <w:p>
      <w:r>
        <w:t>核心主张是：教学生“使用AI”不应停留在工具操作，而应教学生运行一条受证据约束的生成式设计链。“AI驱动”因此具有双重含义：工具层面由AI执行生成，教学层面由证据引导生成；教学工作的重点是把学生从前者引向后者。</w:t>
      </w:r>
    </w:p>
    <w:p>
      <w:pPr>
        <w:pStyle w:val="Heading3"/>
      </w:pPr>
      <w:r>
        <w:t>研究问题</w:t>
      </w:r>
    </w:p>
    <w:p>
      <w:r>
        <w:t>摘要未明确列出研究问题；全文围绕如何为本科景观建筑学课程构建一个整合研究成果、设计先例、AI识别判断与AI生成的证据约束型生成式设计教学框架展开。</w:t>
      </w:r>
    </w:p>
    <w:p>
      <w:pPr>
        <w:pStyle w:val="Heading3"/>
      </w:pPr>
      <w:r>
        <w:t>研究方法</w:t>
      </w:r>
    </w:p>
    <w:p>
      <w:r>
        <w:t>研究类型：理论/教学框架建构型论文，非定量、定性或混合方法的实证研究。样本或参与者：摘要未说明人类参与者样本；课程载体为本科景观建筑学课程 Landscape Architectonics。数据来源：摘要提及13份街道设计指南被提炼为114个可检索情境包，并用三个课堂示例说明框架运作；未说明系统的数据收集过程。分析方法：摘要未说明实证分析程序，主要为框架构建与课堂示例阐释。缺失：未报告学习结果数据、参与者信息、数据收集工具与数据分析方法。</w:t>
      </w:r>
    </w:p>
    <w:p>
      <w:pPr>
        <w:pStyle w:val="Heading3"/>
      </w:pPr>
      <w:r>
        <w:t>主要发现</w:t>
      </w:r>
    </w:p>
    <w:p>
      <w:r>
        <w:t>1）提出“AI驱动”的双层含义：工具层面由AI执行生成，教学层面由证据引导生成，教学目标是把学生从工具操作引向证据约束的生成链。2）框架整合四类要素：研究成果提供“何为好”的标准，设计先例提供“如何做”的示例，并将13份街道设计指南提炼为114个可检索情境包；AI识别与AI生成产出锚定具体场地的动态结果。3）提出“阅读场地—锚定语境—赋予形式”三阶段及互补要素、部分嵌入、显性判断三原则，并用三个课堂示例说明框架运作；论文不报告学习结果数据。</w:t>
      </w:r>
    </w:p>
    <w:p>
      <w:pPr>
        <w:pStyle w:val="Heading3"/>
      </w:pPr>
      <w:r>
        <w:t>对教师教育研究的启示</w:t>
      </w:r>
    </w:p>
    <w:p>
      <w:r>
        <w:t>对教师教育研究的启示：其一，AI教学应用研究可从“工具操作”转向“证据约束的生成链”，关注教师如何设计标准、示例与判断规则。其二，若开展后续研究，可采用基于设计的研究或混合方法，收集课堂设计产物、情境包使用记录、学生判断依据、评分量规与前后测等数据，检验框架对学习结果的影响；但本文未提供这些实证数据。其三，教师培训可强调“部分嵌入”和“显性判断”，帮助教师把AI生成置于课程证据与专业判断之下。需注意：该文处于本科景观建筑学教育情境，向学前教育或基础教育迁移时需重新验证。</w:t>
      </w:r>
    </w:p>
    <w:p>
      <w:pPr>
        <w:pStyle w:val="Heading3"/>
      </w:pPr>
      <w:r>
        <w:t>APA引用格式</w:t>
      </w:r>
    </w:p>
    <w:p>
      <w:r>
        <w:t>Yao, L., Zhang, R., &amp; Liang, Z. (2026). AI-driven, evidence-based generative design: A teaching framework for landscape architectonics integrating research findings, design precedents, and intelligent recognition and judgment. World Journal of Educational Studies. https://doi.org/10.61784/wjes3213</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111.04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89/frai.2026.1970792" TargetMode="External"/><Relationship Id="rId10" Type="http://schemas.openxmlformats.org/officeDocument/2006/relationships/hyperlink" Target="https://doi.org/10.63539/isrn.2026027" TargetMode="External"/><Relationship Id="rId11" Type="http://schemas.openxmlformats.org/officeDocument/2006/relationships/hyperlink" Target="https://doi.org/10.3390/w18202626" TargetMode="External"/><Relationship Id="rId12" Type="http://schemas.openxmlformats.org/officeDocument/2006/relationships/hyperlink" Target="https://doi.org/10.29140/lea.2026.105239" TargetMode="External"/><Relationship Id="rId13" Type="http://schemas.openxmlformats.org/officeDocument/2006/relationships/hyperlink" Target="https://doi.org/10.61784/wjes3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