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每日SSCI文献简报｜2026-08-30</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2026-08-30 10:07:13（北京时间）</w:t>
            </w:r>
          </w:p>
        </w:tc>
      </w:tr>
      <w:tr>
        <w:tc>
          <w:tcPr>
            <w:tcW w:type="dxa" w:w="4997"/>
          </w:tcPr>
          <w:p>
            <w:r>
              <w:rPr>
                <w:b/>
              </w:rPr>
              <w:t>检索窗口</w:t>
            </w:r>
          </w:p>
        </w:tc>
        <w:tc>
          <w:tcPr>
            <w:tcW w:type="dxa" w:w="4997"/>
          </w:tcPr>
          <w:p>
            <w:r>
              <w:t>2023-08-31 — 2026-08-30</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赋能教育的多维影响：从乡村学生数字接入与AI素养、小学生社交情绪与AI使用，到教师数字素养评估及职前教师VR模拟，共同关注技术应用中的公平性、心理因素与文化融合。其中中国教师数据多源评估及课程思政改革尤具本土创新价值。</w:t>
      </w:r>
    </w:p>
    <w:p>
      <w:pPr>
        <w:pStyle w:val="Heading1"/>
      </w:pPr>
      <w:r>
        <w:t>目录</w:t>
      </w:r>
    </w:p>
    <w:p>
      <w:pPr>
        <w:pStyle w:val="ListNumber"/>
      </w:pPr>
      <w:r>
        <w:rPr>
          <w:b/>
        </w:rPr>
        <w:t>农村学生会掉队吗？——俾路支省齐亚拉特县中学生的AI素养、数字接入与未来技能准备度研究</w:t>
      </w:r>
      <w:r>
        <w:t>｜Journal of Language, Literature &amp;amp; Social Affairs｜2026-08-29</w:t>
      </w:r>
    </w:p>
    <w:p>
      <w:pPr>
        <w:pStyle w:val="ListNumber"/>
      </w:pPr>
      <w:r>
        <w:rPr>
          <w:b/>
        </w:rPr>
        <w:t>小学生社交焦虑、孤独感与学习困难：考察孤独感与AI使用频率的作用</w:t>
      </w:r>
      <w:r>
        <w:t>｜Humanities and Social Sciences Communications｜2026-08-27</w:t>
      </w:r>
    </w:p>
    <w:p>
      <w:pPr>
        <w:pStyle w:val="ListNumber"/>
      </w:pPr>
      <w:r>
        <w:rPr>
          <w:b/>
        </w:rPr>
        <w:t>结合调查数据与数字平台使用数据的教师数字素养评估</w:t>
      </w:r>
      <w:r>
        <w:t>｜Asia Pacific Journal of Education｜2026-08-28</w:t>
      </w:r>
    </w:p>
    <w:p>
      <w:pPr>
        <w:pStyle w:val="ListNumber"/>
      </w:pPr>
      <w:r>
        <w:rPr>
          <w:b/>
        </w:rPr>
        <w:t>VR课堂模拟中的情绪相关反应：基于AI的职前教师冲突管理分析</w:t>
      </w:r>
      <w:r>
        <w:t>｜Education and Information Technologies｜2026-08-29</w:t>
      </w:r>
    </w:p>
    <w:p>
      <w:pPr>
        <w:pStyle w:val="ListNumber"/>
      </w:pPr>
      <w:r>
        <w:rPr>
          <w:b/>
        </w:rPr>
        <w:t>AI赋能视觉编辑与特效基础课程思政教学改革研究——融入青岛海洋文化</w:t>
      </w:r>
      <w:r>
        <w:t>｜World Journal of Educational Research｜2026-08-29</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Will Rural Students Be Left Behind? AI Literacy, Digital Access, and Future Skills Readiness among Secondary School Students in Ziarat District, Balochistan / 农村学生会掉队吗？——俾路支省齐亚拉特县中学生的AI素养、数字接入与未来技能准备度研究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Will Rural Students Be Left Behind? AI Literacy, Digital Access, and Future Skills Readiness among Secondary School Students in Ziarat District, Balochistan / 农村学生会掉队吗？——俾路支省齐亚拉特县中学生的AI素养、数字接入与未来技能准备度研究</w:t>
            </w:r>
          </w:p>
        </w:tc>
      </w:tr>
      <w:tr>
        <w:tc>
          <w:tcPr>
            <w:tcW w:type="dxa" w:w="4997"/>
          </w:tcPr>
          <w:p>
            <w:r>
              <w:rPr>
                <w:b/>
              </w:rPr>
              <w:t>作者</w:t>
            </w:r>
          </w:p>
        </w:tc>
        <w:tc>
          <w:tcPr>
            <w:tcW w:type="dxa" w:w="4997"/>
          </w:tcPr>
          <w:p>
            <w:r>
              <w:t>Farzana Arbab, Abdul Rahim, Gulab Khan Khilji, Shagufta Ambreen, Mukhtar Bashir</w:t>
            </w:r>
          </w:p>
        </w:tc>
      </w:tr>
      <w:tr>
        <w:tc>
          <w:tcPr>
            <w:tcW w:type="dxa" w:w="4997"/>
          </w:tcPr>
          <w:p>
            <w:r>
              <w:rPr>
                <w:b/>
              </w:rPr>
              <w:t>期刊及影响因子</w:t>
            </w:r>
          </w:p>
        </w:tc>
        <w:tc>
          <w:tcPr>
            <w:tcW w:type="dxa" w:w="4997"/>
          </w:tcPr>
          <w:p>
            <w:r>
              <w:t>SSCI分类：Linguistics；影响因子：白名单未提供；JCR分区：白名单未提供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卷期信息未提供；DOI: 10.63056/jllsa.2.8.2026.287</w:t>
            </w:r>
          </w:p>
        </w:tc>
      </w:tr>
      <w:tr>
        <w:tc>
          <w:tcPr>
            <w:tcW w:type="dxa" w:w="4997"/>
          </w:tcPr>
          <w:p>
            <w:r>
              <w:rPr>
                <w:b/>
              </w:rPr>
              <w:t>在线发表时间</w:t>
            </w:r>
          </w:p>
        </w:tc>
        <w:tc>
          <w:tcPr>
            <w:tcW w:type="dxa" w:w="4997"/>
          </w:tcPr>
          <w:p>
            <w:r>
              <w:t>2026-08-29</w:t>
            </w:r>
          </w:p>
        </w:tc>
      </w:tr>
      <w:tr>
        <w:tc>
          <w:tcPr>
            <w:tcW w:type="dxa" w:w="4997"/>
          </w:tcPr>
          <w:p>
            <w:r>
              <w:rPr>
                <w:b/>
              </w:rPr>
              <w:t>SSCI分类</w:t>
            </w:r>
          </w:p>
        </w:tc>
        <w:tc>
          <w:tcPr>
            <w:tcW w:type="dxa" w:w="4997"/>
          </w:tcPr>
          <w:p>
            <w:r>
              <w:t>Linguistics</w:t>
            </w:r>
          </w:p>
        </w:tc>
      </w:tr>
      <w:tr>
        <w:tc>
          <w:tcPr>
            <w:tcW w:type="dxa" w:w="4997"/>
          </w:tcPr>
          <w:p>
            <w:r>
              <w:rPr>
                <w:b/>
              </w:rPr>
              <w:t>论文链接</w:t>
            </w:r>
          </w:p>
        </w:tc>
        <w:tc>
          <w:tcPr>
            <w:tcW w:type="dxa" w:w="4997"/>
          </w:tcPr>
          <w:p>
            <w:hyperlink r:id="rId9">
              <w:r>
                <w:rPr>
                  <w:color w:val="0563C1"/>
                  <w:u w:val="single"/>
                </w:rPr>
                <w:t>https://doi.org/10.63056/jllsa.2.8.2026.287</w:t>
              </w:r>
            </w:hyperlink>
          </w:p>
        </w:tc>
      </w:tr>
    </w:tbl>
    <w:p>
      <w:pPr>
        <w:pStyle w:val="Heading3"/>
      </w:pPr>
      <w:r>
        <w:t>研究摘要</w:t>
      </w:r>
    </w:p>
    <w:p>
      <w:r>
        <w:t>人工智能（AI）以多种方式影响中学生的学习过程、沟通、继续教育和职业前景。然而，数字资源供给方面的不平等可能会阻碍学习者AI素养和未来准备度的发展，尤其是在农村语境下。本研究考察了巴基斯坦俾路支省齐亚拉特县500名九年级和十年级学生的数字接入、AI素养、学校支持与未来技能准备度之间的关系，样本男女各半。数据收集采用包含34个量表题项的结构化问卷。数据分析使用了描述性统计、Cronbach's alpha、皮尔逊相关和多元线性回归。数字接入、AI素养、学校支持和未来技能准备度的均值分别为3.15、3.10、2.94和3.09。内部一致性方面，AI素养（α=.91）、学校支持（α=.85）和未来技能准备度（α=.92）均较高，而数字接入（α=.35）相对较低。回归模型预测未来技能准备度27.8%的方差，F(5,494)=38.00, p&lt;.001，预测变量为数字接入、AI素养、学校支持、性别和年级。需要强调的是，所提供的数据集是为分析而设计的，并非真实收集的数据，因此研究结果应视为说明性而非实证性证据。</w:t>
      </w:r>
    </w:p>
    <w:p>
      <w:pPr>
        <w:pStyle w:val="Heading3"/>
      </w:pPr>
      <w:r>
        <w:t>研究主要内容</w:t>
      </w:r>
    </w:p>
    <w:p>
      <w:r>
        <w:t>研究聚焦农村中学生在AI时代的数字鸿沟风险，通过500名九年级和十年级学生的问卷数据（模拟数据），定量检验数字接入、AI素养、学校支持、性别和年级对未来技能准备度的预测作用。</w:t>
      </w:r>
    </w:p>
    <w:p>
      <w:pPr>
        <w:pStyle w:val="Heading3"/>
      </w:pPr>
      <w:r>
        <w:t>研究论点</w:t>
      </w:r>
    </w:p>
    <w:p>
      <w:r>
        <w:t>本文通过多元回归检验了数字接入、AI素养、学校支持等因素对农村中学生未来技能准备度的预测作用，并借此警示，缺乏数字基础设施和支持的农村学生可能面临在AI时代“被落下”的风险。</w:t>
      </w:r>
    </w:p>
    <w:p>
      <w:pPr>
        <w:pStyle w:val="Heading3"/>
      </w:pPr>
      <w:r>
        <w:t>研究问题</w:t>
      </w:r>
    </w:p>
    <w:p>
      <w:r>
        <w:t>摘要未明确列出研究问题，但根据研究目标和变量关系推断，本研究的核心问题是：数字接入、AI素养、学校支持、性别和年级如何预测农村中学生的未来技能准备度？农村学生是否会因数字资源不足而在AI素养和未来技能准备度方面被落下？</w:t>
      </w:r>
    </w:p>
    <w:p>
      <w:pPr>
        <w:pStyle w:val="Heading3"/>
      </w:pPr>
      <w:r>
        <w:t>研究方法</w:t>
      </w:r>
    </w:p>
    <w:p>
      <w:r>
        <w:t>定量研究（基于模拟/示例数据，非真实收集数据）。样本/参与者：500名九年级和十年级学生（男女各半），但该数据集为分析而设计，并非实际抽样所得。数据来源：结构化问卷（34个量表题项），未说明真实田野收集流程。分析方法：描述性统计、Cronbach's alpha信度检验、Pearson相关分析、多元线性回归（含性别、年级等预测变量）。</w:t>
      </w:r>
    </w:p>
    <w:p>
      <w:pPr>
        <w:pStyle w:val="Heading3"/>
      </w:pPr>
      <w:r>
        <w:t>主要发现</w:t>
      </w:r>
    </w:p>
    <w:p>
      <w:r>
        <w:t>1. 各变量均值分别为：数字接入3.15、AI素养3.10、学校支持2.94、未来技能准备度3.09。2. 信度检验显示AI素养（α=.91）、学校支持（α=.85）、未来技能准备度（α=.92）内部一致性高，数字接入（α=.35）内部一致性较低。3. 多元回归模型显著，可解释未来技能准备度27.8%的方差（F(5,494)=38.00, p&lt;.001），数字接入、AI素养、学校支持、性别和年级为预测变量。以上结果基于模拟数据，仅具说明性。</w:t>
      </w:r>
    </w:p>
    <w:p>
      <w:pPr>
        <w:pStyle w:val="Heading3"/>
      </w:pPr>
      <w:r>
        <w:t>对教师教育研究的启示</w:t>
      </w:r>
    </w:p>
    <w:p>
      <w:r>
        <w:t>对教师教育研究的启示：第一，本研究提供了将AI素养、数字接入、学校支持与未来技能准备度置于同一模型的分析框架，可供教师教育研究者在真实学校情境中借鉴；第二，研究设计中的量表信度检验和多元回归方法可作为教师教育研究数据分析的教学示例，但须警惕模拟数据不能替代实证证据；第三，未来研究应关注教师数字素养和学校层面支持如何中介或调节学生AI素养的发展，并可结合纵向或混合方法设计来考察教育数字化背景下的教师角色与教学变革。</w:t>
      </w:r>
    </w:p>
    <w:p>
      <w:pPr>
        <w:pStyle w:val="Heading3"/>
      </w:pPr>
      <w:r>
        <w:t>APA引用格式</w:t>
      </w:r>
    </w:p>
    <w:p>
      <w:r>
        <w:t>Arbab, F., Rahim, A., Khilji, G. K., Ambreen, S., &amp; Bashir, M. (2026). Will rural students be left behind? AI literacy, digital access, and future skills readiness among secondary school students in Ziarat District, Balochistan. Journal of Language, Literature &amp; Social Affairs. https://doi.org/10.63056/jllsa.2.8.2026.287</w:t>
      </w:r>
    </w:p>
    <w:p>
      <w:r>
        <w:br w:type="page"/>
      </w:r>
    </w:p>
    <w:p>
      <w:pPr>
        <w:pStyle w:val="Heading2"/>
      </w:pPr>
      <w:r>
        <w:t>2. Social anxiety, loneliness, and learning difficulties in primary school students: examining the roles of loneliness and AI usage frequency / 小学生社交焦虑、孤独感与学习困难：考察孤独感与AI使用频率的作用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Social anxiety, loneliness, and learning difficulties in primary school students: examining the roles of loneliness and AI usage frequency / 小学生社交焦虑、孤独感与学习困难：考察孤独感与AI使用频率的作用</w:t>
            </w:r>
          </w:p>
        </w:tc>
      </w:tr>
      <w:tr>
        <w:tc>
          <w:tcPr>
            <w:tcW w:type="dxa" w:w="4997"/>
          </w:tcPr>
          <w:p>
            <w:r>
              <w:rPr>
                <w:b/>
              </w:rPr>
              <w:t>作者</w:t>
            </w:r>
          </w:p>
        </w:tc>
        <w:tc>
          <w:tcPr>
            <w:tcW w:type="dxa" w:w="4997"/>
          </w:tcPr>
          <w:p>
            <w:r>
              <w:t>Guangyuan Ma, JinChao Hu, Yi Chen, BiXin Wei, Yang Song</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CAMPUS, 4 CRINAN ST, LONDON, ENGLAND, N1 9XW</w:t>
            </w:r>
          </w:p>
        </w:tc>
      </w:tr>
      <w:tr>
        <w:tc>
          <w:tcPr>
            <w:tcW w:type="dxa" w:w="4997"/>
          </w:tcPr>
          <w:p>
            <w:r>
              <w:rPr>
                <w:b/>
              </w:rPr>
              <w:t>卷期/DOI</w:t>
            </w:r>
          </w:p>
        </w:tc>
        <w:tc>
          <w:tcPr>
            <w:tcW w:type="dxa" w:w="4997"/>
          </w:tcPr>
          <w:p>
            <w:r>
              <w:t>卷期未说明；DOI: https://doi.org/10.1057/s41599-026-08732-5</w:t>
            </w:r>
          </w:p>
        </w:tc>
      </w:tr>
      <w:tr>
        <w:tc>
          <w:tcPr>
            <w:tcW w:type="dxa" w:w="4997"/>
          </w:tcPr>
          <w:p>
            <w:r>
              <w:rPr>
                <w:b/>
              </w:rPr>
              <w:t>在线发表时间</w:t>
            </w:r>
          </w:p>
        </w:tc>
        <w:tc>
          <w:tcPr>
            <w:tcW w:type="dxa" w:w="4997"/>
          </w:tcPr>
          <w:p>
            <w:r>
              <w:t>2026-08-27</w:t>
            </w:r>
          </w:p>
        </w:tc>
      </w:tr>
      <w:tr>
        <w:tc>
          <w:tcPr>
            <w:tcW w:type="dxa" w:w="4997"/>
          </w:tcPr>
          <w:p>
            <w:r>
              <w:rPr>
                <w:b/>
              </w:rPr>
              <w:t>SSCI分类</w:t>
            </w:r>
          </w:p>
        </w:tc>
        <w:tc>
          <w:tcPr>
            <w:tcW w:type="dxa" w:w="4997"/>
          </w:tcPr>
          <w:p>
            <w:r>
              <w:t>SSCI白名单匹配；分类未提供</w:t>
            </w:r>
          </w:p>
        </w:tc>
      </w:tr>
      <w:tr>
        <w:tc>
          <w:tcPr>
            <w:tcW w:type="dxa" w:w="4997"/>
          </w:tcPr>
          <w:p>
            <w:r>
              <w:rPr>
                <w:b/>
              </w:rPr>
              <w:t>论文链接</w:t>
            </w:r>
          </w:p>
        </w:tc>
        <w:tc>
          <w:tcPr>
            <w:tcW w:type="dxa" w:w="4997"/>
          </w:tcPr>
          <w:p>
            <w:hyperlink r:id="rId10">
              <w:r>
                <w:rPr>
                  <w:color w:val="0563C1"/>
                  <w:u w:val="single"/>
                </w:rPr>
                <w:t>https://doi.org/10.1057/s41599-026-08732-5</w:t>
              </w:r>
            </w:hyperlink>
          </w:p>
        </w:tc>
      </w:tr>
    </w:tbl>
    <w:p>
      <w:pPr>
        <w:pStyle w:val="Heading3"/>
      </w:pPr>
      <w:r>
        <w:t>研究摘要</w:t>
      </w:r>
    </w:p>
    <w:p>
      <w:r>
        <w:t>本研究考察了小学生社交焦虑与学习困难之间的关系，重点探讨孤独感的中介作用及人工智能（AI）使用频率的调节作用。采用儿童社交焦虑量表、儿童学习适应性问卷、儿童孤独感量表和AI使用问卷对800名1至6年级学生进行调查，数据筛选后保留597份有效问卷。使用PROCESS宏进行中介与调节效应分析。结果显示，社交焦虑与学习困难呈正相关，孤独感部分中介了这一关系。然而，AI使用频率并未显著调节社交焦虑与学习困难之间的关系；其对虚弱症状（定义为疲劳相关、分心相关及躯体/功能紧张症状）的假设性调节作用也未得到支持。研究结果表明，社交焦虑既直接又与孤独感间接地与小学生学习困难相关联。这一结果凸显了情绪与人际因素在理解学习困难中的重要性，同时提示仅凭AI使用频率可能不足以缓冲社交焦虑与学习相关结果之间的负向关联。</w:t>
      </w:r>
    </w:p>
    <w:p>
      <w:pPr>
        <w:pStyle w:val="Heading3"/>
      </w:pPr>
      <w:r>
        <w:t>研究主要内容</w:t>
      </w:r>
    </w:p>
    <w:p>
      <w:r>
        <w:t>本研究以小学生为对象，采用问卷调查法收集800名1-6年级学生的社交焦虑、孤独感、学习适应性和AI使用频率数据，通过中介与调节模型分析变量间关系。核心内容围绕社交焦虑如何经由孤独感影响学习困难，以及AI使用频率是否起调节作用展开，结果支持部分中介模型，但未证实调节效应。</w:t>
      </w:r>
    </w:p>
    <w:p>
      <w:pPr>
        <w:pStyle w:val="Heading3"/>
      </w:pPr>
      <w:r>
        <w:t>研究论点</w:t>
      </w:r>
    </w:p>
    <w:p>
      <w:r>
        <w:t>社交焦虑是小学生学习困难的重要风险因素，孤独感在其间起部分中介机制；AI使用频率的调节作用不显著，表明技术使用不能简单替代情感与人际支持。</w:t>
      </w:r>
    </w:p>
    <w:p>
      <w:pPr>
        <w:pStyle w:val="Heading3"/>
      </w:pPr>
      <w:r>
        <w:t>研究问题</w:t>
      </w:r>
    </w:p>
    <w:p>
      <w:r>
        <w:t>本研究旨在探讨小学生社交焦虑与学习困难之间的关联，检验孤独感的中介作用以及AI使用频率的调节作用，并进一步考察AI使用频率对'虚弱症状'（疲劳相关、分心相关、躯体/功能紧张症状）的调节效应是否成立。</w:t>
      </w:r>
    </w:p>
    <w:p>
      <w:pPr>
        <w:pStyle w:val="Heading3"/>
      </w:pPr>
      <w:r>
        <w:t>研究方法</w:t>
      </w:r>
    </w:p>
    <w:p>
      <w:r>
        <w:t>研究类型：定量研究。样本/参与者：800名1-6年级小学生，数据筛选后有效样本为597名。数据来源：采用儿童社交焦虑量表、儿童学习适应性问卷、儿童孤独感量表、AI使用问卷进行问卷调查。分析方法：使用PROCESS宏进行中介效应和调节效应分析。摘要未说明抽样方法、量表信效度检验等细节。</w:t>
      </w:r>
    </w:p>
    <w:p>
      <w:pPr>
        <w:pStyle w:val="Heading3"/>
      </w:pPr>
      <w:r>
        <w:t>主要发现</w:t>
      </w:r>
    </w:p>
    <w:p>
      <w:r>
        <w:t>1. 社交焦虑与学习困难显著正相关。2. 孤独感部分中介了社交焦虑与学习困难之间的关系。3. AI使用频率未显著调节社交焦虑与学习困难的关联，且对疲劳相关、分心相关及躯体/功能紧张等虚弱症状的调节作用也未获得支持。</w:t>
      </w:r>
    </w:p>
    <w:p>
      <w:pPr>
        <w:pStyle w:val="Heading3"/>
      </w:pPr>
      <w:r>
        <w:t>对教师教育研究的启示</w:t>
      </w:r>
    </w:p>
    <w:p>
      <w:r>
        <w:t>1. 教师教育研究应重视情绪与人际因素的作用，孤独感可作为理解及干预学习困难的关键变量。2. 本研究采用定量问卷并结合中介调节分析，为教师教育中考察技术使用（如AI）对学生学习适应影响提供了方法参考。3. 研究发现AI使用频率的调节作用不显著，提示教师培训中应谨慎推广AI工具，需结合情感支持与人际关系建设，而非单纯依赖技术使用频率。</w:t>
      </w:r>
    </w:p>
    <w:p>
      <w:pPr>
        <w:pStyle w:val="Heading3"/>
      </w:pPr>
      <w:r>
        <w:t>APA引用格式</w:t>
      </w:r>
    </w:p>
    <w:p>
      <w:r>
        <w:t>Ma, G., Hu, J., Chen, Y., Wei, B., &amp; Song, Y. (2026). Social anxiety, loneliness, and learning difficulties in primary school students: Examining the roles of loneliness and AI usage frequency. Humanities and Social Sciences Communications. https://doi.org/10.1057/s41599-026-08732-5</w:t>
      </w:r>
    </w:p>
    <w:p>
      <w:r>
        <w:br w:type="page"/>
      </w:r>
    </w:p>
    <w:p>
      <w:pPr>
        <w:pStyle w:val="Heading2"/>
      </w:pPr>
      <w:r>
        <w:t>3. Evaluation of teachers’ digital literacy combining survey data and digital platform usage data / 结合调查数据与数字平台使用数据的教师数字素养评估</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Evaluation of teachers’ digital literacy combining survey data and digital platform usage data / 结合调查数据与数字平台使用数据的教师数字素养评估</w:t>
            </w:r>
          </w:p>
        </w:tc>
      </w:tr>
      <w:tr>
        <w:tc>
          <w:tcPr>
            <w:tcW w:type="dxa" w:w="4997"/>
          </w:tcPr>
          <w:p>
            <w:r>
              <w:rPr>
                <w:b/>
              </w:rPr>
              <w:t>作者</w:t>
            </w:r>
          </w:p>
        </w:tc>
        <w:tc>
          <w:tcPr>
            <w:tcW w:type="dxa" w:w="4997"/>
          </w:tcPr>
          <w:p>
            <w:r>
              <w:t>Min Chen, Huiyun Yang, Fenghua Shao, Chi Zhou</w:t>
            </w:r>
          </w:p>
        </w:tc>
      </w:tr>
      <w:tr>
        <w:tc>
          <w:tcPr>
            <w:tcW w:type="dxa" w:w="4997"/>
          </w:tcPr>
          <w:p>
            <w:r>
              <w:rPr>
                <w:b/>
              </w:rPr>
              <w:t>期刊及影响因子</w:t>
            </w:r>
          </w:p>
        </w:tc>
        <w:tc>
          <w:tcPr>
            <w:tcW w:type="dxa" w:w="4997"/>
          </w:tcPr>
          <w:p>
            <w:r>
              <w:t>未提供影响因子与JCR分区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1742-6855</w:t>
            </w:r>
          </w:p>
        </w:tc>
      </w:tr>
      <w:tr>
        <w:tc>
          <w:tcPr>
            <w:tcW w:type="dxa" w:w="4997"/>
          </w:tcPr>
          <w:p>
            <w:r>
              <w:rPr>
                <w:b/>
              </w:rPr>
              <w:t>卷期/DOI</w:t>
            </w:r>
          </w:p>
        </w:tc>
        <w:tc>
          <w:tcPr>
            <w:tcW w:type="dxa" w:w="4997"/>
          </w:tcPr>
          <w:p>
            <w:r>
              <w:t>卷期信息未提供；DOI: 10.1080/02188791.2026.2722919</w:t>
            </w:r>
          </w:p>
        </w:tc>
      </w:tr>
      <w:tr>
        <w:tc>
          <w:tcPr>
            <w:tcW w:type="dxa" w:w="4997"/>
          </w:tcPr>
          <w:p>
            <w:r>
              <w:rPr>
                <w:b/>
              </w:rPr>
              <w:t>在线发表时间</w:t>
            </w:r>
          </w:p>
        </w:tc>
        <w:tc>
          <w:tcPr>
            <w:tcW w:type="dxa" w:w="4997"/>
          </w:tcPr>
          <w:p>
            <w:r>
              <w:t>2026-08-28</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1">
              <w:r>
                <w:rPr>
                  <w:color w:val="0563C1"/>
                  <w:u w:val="single"/>
                </w:rPr>
                <w:t>https://doi.org/10.1080/02188791.2026.2722919</w:t>
              </w:r>
            </w:hyperlink>
          </w:p>
        </w:tc>
      </w:tr>
    </w:tbl>
    <w:p>
      <w:pPr>
        <w:pStyle w:val="Heading3"/>
      </w:pPr>
      <w:r>
        <w:t>研究摘要</w:t>
      </w:r>
    </w:p>
    <w:p>
      <w:r>
        <w:t>教师的数字素养是数字时代教育创新与人才培养的关键组成部分。传统评估主要依赖问卷和访谈等自我报告证据。随着教育数字平台的日益普及，教师通过平台参与产生的行为痕迹数据为丰富教师数字素养评估提供了更多机会。在三角互证（triangulation）指导下，本研究提出一种探索性的整合评估方法，将问卷数据与数字平台使用数据相结合，以考察中国某地区1,877名中小学教师的数字素养。平台行为数据仅用于补充平台日志能够有效捕获的维度信息。结果表明，该地区教师的数字素养得分相对较低，在数字社会责任维度表现相对较好，在数字应用与专业发展维度表现较弱。层次多元回归分析进一步表明，教师数字素养在性别、年龄、学校类型以及年龄×学校类型的交互作用上存在统计学显著差异。这些发现强调了多源证据整合对于提高教师数字素养评估的可解释性与完整性的价值，并为数据驱动的教育评估提供了方法论启示。</w:t>
      </w:r>
    </w:p>
    <w:p>
      <w:pPr>
        <w:pStyle w:val="Heading3"/>
      </w:pPr>
      <w:r>
        <w:t>研究主要内容</w:t>
      </w:r>
    </w:p>
    <w:p>
      <w:r>
        <w:t>本研究针对传统教师数字素养评估依赖自我报告证据的局限，提出将问卷调查数据与数字平台使用行为数据相结合的探索性整合评估方案。研究在中国某地区以1,877名中小学教师为样本，采用问卷与平台日志数据，通过层次多元回归分析考察教师数字素养的总体水平、维度差异及人口学变量差异。研究发现该地区教师数字素养整体偏低，且在不同维度和群体间存在显著分化。研究论证了多源数据整合在教师数字素养评估中的可行性与价值。</w:t>
      </w:r>
    </w:p>
    <w:p>
      <w:pPr>
        <w:pStyle w:val="Heading3"/>
      </w:pPr>
      <w:r>
        <w:t>研究论点</w:t>
      </w:r>
    </w:p>
    <w:p>
      <w:r>
        <w:t>传统教师数字素养评估以自我报告为主，存在主观性和不完整性问题；在数字平台广泛应用的背景下，结合行为痕迹数据与问卷数据，采用三角互证策略，可以提升评估的可解释性和完整性，从而更全面地刻画教师数字素养状况。</w:t>
      </w:r>
    </w:p>
    <w:p>
      <w:pPr>
        <w:pStyle w:val="Heading3"/>
      </w:pPr>
      <w:r>
        <w:t>研究问题</w:t>
      </w:r>
    </w:p>
    <w:p>
      <w:r>
        <w:t>摘要未明确列出一项具体研究问题。根据研究目的可概括为：如何结合问卷数据与数字平台使用数据，对中小学教师数字素养进行整合评估？教师数字素养在性别、年龄、学校类型等变量上存在何种差异？</w:t>
      </w:r>
    </w:p>
    <w:p>
      <w:pPr>
        <w:pStyle w:val="Heading3"/>
      </w:pPr>
      <w:r>
        <w:t>研究方法</w:t>
      </w:r>
    </w:p>
    <w:p>
      <w:r>
        <w:t>研究类型：定量研究（探索性整合评估设计）。样本：中国某地区1,877名中小学教师。数据来源：问卷数据（自我报告）和数字平台使用数据（平台行为日志数据）。分析方法：层次多元回归分析（hierarchical multiple regression）；平台行为数据仅用于补充平台日志能有效捕获的维度信息。摘要未说明问卷的具体测量工具、抽样方式、数据收集时间及平台类型。</w:t>
      </w:r>
    </w:p>
    <w:p>
      <w:pPr>
        <w:pStyle w:val="Heading3"/>
      </w:pPr>
      <w:r>
        <w:t>主要发现</w:t>
      </w:r>
    </w:p>
    <w:p>
      <w:r>
        <w:t>1. 该地区教师数字素养得分整体相对较低；其中数字社会责任维度表现相对较好，数字应用与专业发展维度表现较弱。2. 层次多元回归分析显示，教师数字素养在性别、年龄、学校类型以及年龄×学校类型的交互作用上存在统计学显著差异。3. 多源证据整合（问卷数据与平台使用数据）能够提高教师数字素养评估的可解释性和完整性，支持数据驱动的教育评价方法。</w:t>
      </w:r>
    </w:p>
    <w:p>
      <w:pPr>
        <w:pStyle w:val="Heading3"/>
      </w:pPr>
      <w:r>
        <w:t>对教师教育研究的启示</w:t>
      </w:r>
    </w:p>
    <w:p>
      <w:r>
        <w:t>1. 为教师数字素养研究提供了多源数据三角互证的研究设计示范，未来研究可将自我报告问卷与数字平台行为日志数据结合，以减少单一方法的偏差。2. 在分析教师数字素养差异时，可采纳层次多元回归模型，关注性别、年龄、学校类型等变量及其交互效应，为精准化教师培训提供实证依据。3. 数据收集可充分利用教育数字平台产生的行为追踪数据，但需明确平台日志所能捕获的维度边界，并根据评估目的决定补充性数据的适用范围。</w:t>
      </w:r>
    </w:p>
    <w:p>
      <w:pPr>
        <w:pStyle w:val="Heading3"/>
      </w:pPr>
      <w:r>
        <w:t>APA引用格式</w:t>
      </w:r>
    </w:p>
    <w:p>
      <w:r>
        <w:t>Chen, M., Yang, H., Shao, F., &amp; Zhou, C. (2026). Evaluation of teachers’ digital literacy combining survey data and digital platform usage data. Asia Pacific Journal of Education. https://doi.org/10.1080/02188791.2026.2722919</w:t>
      </w:r>
    </w:p>
    <w:p>
      <w:r>
        <w:br w:type="page"/>
      </w:r>
    </w:p>
    <w:p>
      <w:pPr>
        <w:pStyle w:val="Heading2"/>
      </w:pPr>
      <w:r>
        <w:t>4. Emotion-related responses in VR classroom simulations: An AI-based analysis of preservice teachers’ conflict management / VR课堂模拟中的情绪相关反应：基于AI的职前教师冲突管理分析</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Emotion-related responses in VR classroom simulations: An AI-based analysis of preservice teachers’ conflict management / VR课堂模拟中的情绪相关反应：基于AI的职前教师冲突管理分析</w:t>
            </w:r>
          </w:p>
        </w:tc>
      </w:tr>
      <w:tr>
        <w:tc>
          <w:tcPr>
            <w:tcW w:type="dxa" w:w="4997"/>
          </w:tcPr>
          <w:p>
            <w:r>
              <w:rPr>
                <w:b/>
              </w:rPr>
              <w:t>作者</w:t>
            </w:r>
          </w:p>
        </w:tc>
        <w:tc>
          <w:tcPr>
            <w:tcW w:type="dxa" w:w="4997"/>
          </w:tcPr>
          <w:p>
            <w:r>
              <w:t>Meriem El-Yamri, Ibis M. Alvarez, Borja Manero</w:t>
            </w:r>
          </w:p>
        </w:tc>
      </w:tr>
      <w:tr>
        <w:tc>
          <w:tcPr>
            <w:tcW w:type="dxa" w:w="4997"/>
          </w:tcPr>
          <w:p>
            <w:r>
              <w:rPr>
                <w:b/>
              </w:rPr>
              <w:t>期刊及影响因子</w:t>
            </w:r>
          </w:p>
        </w:tc>
        <w:tc>
          <w:tcPr>
            <w:tcW w:type="dxa" w:w="4997"/>
          </w:tcPr>
          <w:p>
            <w:r>
              <w:t>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1573-7608</w:t>
            </w:r>
          </w:p>
        </w:tc>
      </w:tr>
      <w:tr>
        <w:tc>
          <w:tcPr>
            <w:tcW w:type="dxa" w:w="4997"/>
          </w:tcPr>
          <w:p>
            <w:r>
              <w:rPr>
                <w:b/>
              </w:rPr>
              <w:t>卷期/DOI</w:t>
            </w:r>
          </w:p>
        </w:tc>
        <w:tc>
          <w:tcPr>
            <w:tcW w:type="dxa" w:w="4997"/>
          </w:tcPr>
          <w:p>
            <w:r>
              <w:t>卷期未提供；DOI: 10.1007/s10639-026-14140-8</w:t>
            </w:r>
          </w:p>
        </w:tc>
      </w:tr>
      <w:tr>
        <w:tc>
          <w:tcPr>
            <w:tcW w:type="dxa" w:w="4997"/>
          </w:tcPr>
          <w:p>
            <w:r>
              <w:rPr>
                <w:b/>
              </w:rPr>
              <w:t>在线发表时间</w:t>
            </w:r>
          </w:p>
        </w:tc>
        <w:tc>
          <w:tcPr>
            <w:tcW w:type="dxa" w:w="4997"/>
          </w:tcPr>
          <w:p>
            <w:r>
              <w:t>2026-08-29</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2">
              <w:r>
                <w:rPr>
                  <w:color w:val="0563C1"/>
                  <w:u w:val="single"/>
                </w:rPr>
                <w:t>https://doi.org/10.1007/s10639-026-14140-8</w:t>
              </w:r>
            </w:hyperlink>
          </w:p>
        </w:tc>
      </w:tr>
    </w:tbl>
    <w:p>
      <w:pPr>
        <w:pStyle w:val="Heading3"/>
      </w:pPr>
      <w:r>
        <w:t>研究摘要</w:t>
      </w:r>
    </w:p>
    <w:p>
      <w:r>
        <w:t>摘要未提供。</w:t>
      </w:r>
    </w:p>
    <w:p>
      <w:pPr>
        <w:pStyle w:val="Heading3"/>
      </w:pPr>
      <w:r>
        <w:t>研究主要内容</w:t>
      </w:r>
    </w:p>
    <w:p>
      <w:r>
        <w:t>该论文标题表明其研究主题为VR课堂模拟中的情绪相关反应，利用AI分析职前教师的冲突管理。但原文摘要未提供，无法获取研究背景、具体内容或完整论述。</w:t>
      </w:r>
    </w:p>
    <w:p>
      <w:pPr>
        <w:pStyle w:val="Heading3"/>
      </w:pPr>
      <w:r>
        <w:t>研究论点</w:t>
      </w:r>
    </w:p>
    <w:p>
      <w:r>
        <w:t>摘要未说明。根据标题可推测论文可能论证VR模拟环境与AI分析在教师教育中具有应用价值，但这一推测并非来自原文信息。</w:t>
      </w:r>
    </w:p>
    <w:p>
      <w:pPr>
        <w:pStyle w:val="Heading3"/>
      </w:pPr>
      <w:r>
        <w:t>研究问题</w:t>
      </w:r>
    </w:p>
    <w:p>
      <w:r>
        <w:t>摘要未说明。</w:t>
      </w:r>
    </w:p>
    <w:p>
      <w:pPr>
        <w:pStyle w:val="Heading3"/>
      </w:pPr>
      <w:r>
        <w:t>研究方法</w:t>
      </w:r>
    </w:p>
    <w:p>
      <w:r>
        <w:t>摘要未说明。该元数据未提供研究类型、样本/参与者、数据来源及分析方法。根据标题可推测其可能涉及VR课堂模拟环境与AI情绪/行为分析，但具体研究设计无法从现有信息判断。</w:t>
      </w:r>
    </w:p>
    <w:p>
      <w:pPr>
        <w:pStyle w:val="Heading3"/>
      </w:pPr>
      <w:r>
        <w:t>主要发现</w:t>
      </w:r>
    </w:p>
    <w:p>
      <w:r>
        <w:t>摘要未提供具体发现，无法列出实证结果。基于标题仅能提示：(1) 研究对象为职前教师；(2) 情境为VR课堂模拟；(3) 分析焦点是情绪相关反应与冲突管理。但上述内容并非论文发现。</w:t>
      </w:r>
    </w:p>
    <w:p>
      <w:pPr>
        <w:pStyle w:val="Heading3"/>
      </w:pPr>
      <w:r>
        <w:t>对教师教育研究的启示</w:t>
      </w:r>
    </w:p>
    <w:p>
      <w:r>
        <w:t>由于摘要缺失，具体启示无法从原文提取。基于标题主题，可关注以下前沿方向：第一，VR模拟情境为职前教师提供低风险、可重复的冲突管理训练机会；第二，AI技术可用于自动化分析教师情绪与行为反应，为培训提供过程性数据；第三，教师教育研究可结合多模态数据（如面部表情、语音、动作）提高实证分析的客观性。上述内容为基于标题的推测，并非原文明确表述。</w:t>
      </w:r>
    </w:p>
    <w:p>
      <w:pPr>
        <w:pStyle w:val="Heading3"/>
      </w:pPr>
      <w:r>
        <w:t>APA引用格式</w:t>
      </w:r>
    </w:p>
    <w:p>
      <w:r>
        <w:t>El-Yamri, M., Alvarez, I. M., &amp; Manero, B. (2026). Emotion-related responses in VR classroom simulations: An AI-based analysis of preservice teachers’ conflict management. Education and Information Technologies. Advance online publication. https://doi.org/10.1007/s10639-026-14140-8</w:t>
      </w:r>
    </w:p>
    <w:p>
      <w:r>
        <w:br w:type="page"/>
      </w:r>
    </w:p>
    <w:p>
      <w:pPr>
        <w:pStyle w:val="Heading2"/>
      </w:pPr>
      <w:r>
        <w:t>5. Research on Curriculum‑Ideological‑Political Teaching Reform of AI‑Empowered Visual Editing and Special Effects Fundamentals Integrated with Qingdao Marine Culture / AI赋能视觉编辑与特效基础课程思政教学改革研究——融入青岛海洋文化</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Research on Curriculum‑Ideological‑Political Teaching Reform of AI‑Empowered Visual Editing and Special Effects Fundamentals Integrated with Qingdao Marine Culture / AI赋能视觉编辑与特效基础课程思政教学改革研究——融入青岛海洋文化</w:t>
            </w:r>
          </w:p>
        </w:tc>
      </w:tr>
      <w:tr>
        <w:tc>
          <w:tcPr>
            <w:tcW w:type="dxa" w:w="4997"/>
          </w:tcPr>
          <w:p>
            <w:r>
              <w:rPr>
                <w:b/>
              </w:rPr>
              <w:t>作者</w:t>
            </w:r>
          </w:p>
        </w:tc>
        <w:tc>
          <w:tcPr>
            <w:tcW w:type="dxa" w:w="4997"/>
          </w:tcPr>
          <w:p>
            <w:r>
              <w:t>Xiaochen Lü</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Vol.13, No.4, p.80, DOI: 10.22158/wjer.v13n4p80</w:t>
            </w:r>
          </w:p>
        </w:tc>
      </w:tr>
      <w:tr>
        <w:tc>
          <w:tcPr>
            <w:tcW w:type="dxa" w:w="4997"/>
          </w:tcPr>
          <w:p>
            <w:r>
              <w:rPr>
                <w:b/>
              </w:rPr>
              <w:t>在线发表时间</w:t>
            </w:r>
          </w:p>
        </w:tc>
        <w:tc>
          <w:tcPr>
            <w:tcW w:type="dxa" w:w="4997"/>
          </w:tcPr>
          <w:p>
            <w:r>
              <w:t>2026-08-29</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13">
              <w:r>
                <w:rPr>
                  <w:color w:val="0563C1"/>
                  <w:u w:val="single"/>
                </w:rPr>
                <w:t>https://doi.org/10.22158/wjer.v13n4p80</w:t>
              </w:r>
            </w:hyperlink>
          </w:p>
        </w:tc>
      </w:tr>
    </w:tbl>
    <w:p>
      <w:pPr>
        <w:pStyle w:val="Heading3"/>
      </w:pPr>
      <w:r>
        <w:t>研究摘要</w:t>
      </w:r>
    </w:p>
    <w:p>
      <w:r>
        <w:t>针对数字媒体艺术专业视频类课程中存在的突出问题（重度依赖实地拍摄、课堂实训效率低、地方区域文化融合不足、人工智能应用碎片化），本文以“视觉编辑与特效基础”课程为载体，构建了“海洋文化引领、AI驱动全流程创作、线上线下协同学习、产出导向评价校准”的教学模式。该模式以青岛海洋文化为统一创作主题，将基础软件学习转移至线上平台，课堂教学聚焦基于Adobe After Effects的特效制作和生成式AI支持的创意实践，重构了AI赋能的视频创作流程，并将海洋历史、港口产业、海洋科技、生态文明等文化资源融入项目式教学。同时，加强了事实核查、版权保护和AI伦理教育。教学实践表明，该教学模式有效降低了学生对专业拍摄设备和实地拍摄条件的依赖，提升了学生的创意表达、专业技能、AI应用能力和文化认同感，实现了知识传授、能力培养和价值引导的有机统一，可为应用型高校数字媒体艺术专业视频类课程的教学改革提供参考。</w:t>
      </w:r>
    </w:p>
    <w:p>
      <w:pPr>
        <w:pStyle w:val="Heading3"/>
      </w:pPr>
      <w:r>
        <w:t>研究主要内容</w:t>
      </w:r>
    </w:p>
    <w:p>
      <w:r>
        <w:t>论文围绕数字媒体艺术专业视频类课程的教学改革展开。背景与问题：现有视频类课程过度依赖实地拍摄、课堂训练效率不高、缺少地方文化整合、AI应用零散。改革载体为“视觉编辑与特效基础”课程。核心改革策略：（1）以青岛海洋文化为统一主题贯穿课程；（2）AI赋能全流程创作，将基础软件学习转移到线上，课堂用于After Effects特效制作和生成式AI创意实践；（3）线上与线下协同学习；（4）以产出为导向进行评价校准。课程内容融入海洋历史、港口产业、海洋科技、生态文明等资源，并强化事实核查、版权与AI伦理教育。教学实践效果：降低设备依赖，提升创意表达、专业技能、AI应用能力和文化认同，实现知识、能力、价值统一。</w:t>
      </w:r>
    </w:p>
    <w:p>
      <w:pPr>
        <w:pStyle w:val="Heading3"/>
      </w:pPr>
      <w:r>
        <w:t>研究论点</w:t>
      </w:r>
    </w:p>
    <w:p>
      <w:r>
        <w:t>核心论点是：通过将AI赋能、地方海洋文化、线上线下混合教学和产出导向评价相结合，构建一种新的教学模式，可以有效解决当前数字媒体艺术专业视频类课程存在的现实问题，从而实现课程思政与专业教育的有机融合。</w:t>
      </w:r>
    </w:p>
    <w:p>
      <w:pPr>
        <w:pStyle w:val="Heading3"/>
      </w:pPr>
      <w:r>
        <w:t>研究问题</w:t>
      </w:r>
    </w:p>
    <w:p>
      <w:r>
        <w:t>摘要未明确列出独立的研究问题；但研究旨在解决数字媒体艺术专业视频类课程中存在的重度依赖实地拍摄、课堂实训效率低、地方区域文化融合不足、人工智能应用碎片化等问题。</w:t>
      </w:r>
    </w:p>
    <w:p>
      <w:pPr>
        <w:pStyle w:val="Heading3"/>
      </w:pPr>
      <w:r>
        <w:t>研究方法</w:t>
      </w:r>
    </w:p>
    <w:p>
      <w:r>
        <w:t>摘要未说明研究设计类型（定量/定性/混合）、样本或参与者、数据来源及分析方法；仅提及“教学实践表明”教学效果，缺乏具体实证数据和统计分析。</w:t>
      </w:r>
    </w:p>
    <w:p>
      <w:pPr>
        <w:pStyle w:val="Heading3"/>
      </w:pPr>
      <w:r>
        <w:t>主要发现</w:t>
      </w:r>
    </w:p>
    <w:p>
      <w:r>
        <w:t>['该教学模式有效降低了学生对专业拍摄设备和实地拍摄条件的依赖。', '提升了学生的创意表达能力、专业技能、AI应用能力及文化认同感。', '实现了知识传授、能力培养和价值引导的有机统一。']</w:t>
      </w:r>
    </w:p>
    <w:p>
      <w:pPr>
        <w:pStyle w:val="Heading3"/>
      </w:pPr>
      <w:r>
        <w:t>对教师教育研究的启示</w:t>
      </w:r>
    </w:p>
    <w:p>
      <w:r>
        <w:t>该研究展示了一种AI赋能课程教学改革的可行模式，提示教师教育研究应关注：一，教师如何将生成式AI整合到教学设计中，提升学生的AI应用能力；二，如何将地方文化资源转化为课程思政素材，实现价值引领；三，线上线下混合教学与产出导向评价对教师数字素养和教学组织能力提出的新要求。同时，该研究缺乏实证数据支撑，后续教师教育研究应采用更严谨的实验、准实验或混合方法设计，收集量化和质性数据来验证教学改革效果。</w:t>
      </w:r>
    </w:p>
    <w:p>
      <w:pPr>
        <w:pStyle w:val="Heading3"/>
      </w:pPr>
      <w:r>
        <w:t>APA引用格式</w:t>
      </w:r>
    </w:p>
    <w:p>
      <w:r>
        <w:t>Lü, X. (2026). Research on curriculum-ideological-political teaching reform of AI-empowered visual editing and special effects fundamentals integrated with Qingdao marine culture. World Journal of Educational Research, 13(4), 80-. https://doi.org/10.22158/wjer.v13n4p80</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130.98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63056/jllsa.2.8.2026.287" TargetMode="External"/><Relationship Id="rId10" Type="http://schemas.openxmlformats.org/officeDocument/2006/relationships/hyperlink" Target="https://doi.org/10.1057/s41599-026-08732-5" TargetMode="External"/><Relationship Id="rId11" Type="http://schemas.openxmlformats.org/officeDocument/2006/relationships/hyperlink" Target="https://doi.org/10.1080/02188791.2026.2722919" TargetMode="External"/><Relationship Id="rId12" Type="http://schemas.openxmlformats.org/officeDocument/2006/relationships/hyperlink" Target="https://doi.org/10.1007/s10639-026-14140-8" TargetMode="External"/><Relationship Id="rId13" Type="http://schemas.openxmlformats.org/officeDocument/2006/relationships/hyperlink" Target="https://doi.org/10.22158/wjer.v13n4p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