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2026-10-10 11:06:07（北京时间）</w:t>
            </w:r>
          </w:p>
        </w:tc>
      </w:tr>
      <w:tr>
        <w:tc>
          <w:tcPr>
            <w:tcW w:type="dxa" w:w="4997"/>
          </w:tcPr>
          <w:p>
            <w:r>
              <w:rPr>
                <w:b/>
              </w:rPr>
              <w:t>检索窗口</w:t>
            </w:r>
          </w:p>
        </w:tc>
        <w:tc>
          <w:tcPr>
            <w:tcW w:type="dxa" w:w="4997"/>
          </w:tcPr>
          <w:p>
            <w:r>
              <w:t>2023-10-11 — 2026-10-10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在线教育转型，关注公平、伦理、可持续及学习者差异，方法兼有综述、定量与混合研究；教学案例提示数字便利与人文体验需平衡。对中国而言，AI赋能教学应重教师能力、差异化设计与包容治理。</w:t>
      </w:r>
    </w:p>
    <w:p>
      <w:pPr>
        <w:pStyle w:val="Heading1"/>
      </w:pPr>
      <w:r>
        <w:t>目录</w:t>
      </w:r>
    </w:p>
    <w:p>
      <w:pPr>
        <w:pStyle w:val="ListNumber"/>
      </w:pPr>
      <w:r>
        <w:rPr>
          <w:b/>
        </w:rPr>
        <w:t>南亚高等教育中的在线教学与学习：教师教育与体育教育的挑战及新兴机会</w:t>
      </w:r>
      <w:r>
        <w:t>｜International Journal of Education Pedagogy and Psychology｜2026-10-08</w:t>
      </w:r>
    </w:p>
    <w:p>
      <w:pPr>
        <w:pStyle w:val="ListNumber"/>
      </w:pPr>
      <w:r>
        <w:rPr>
          <w:b/>
        </w:rPr>
        <w:t>解构AI可教代理参与中的个体差异：不同学习者群体的参与度与数学考试成绩关联</w:t>
      </w:r>
      <w:r>
        <w:t>｜Learning and Individual Differences｜2026-10-07</w:t>
      </w:r>
    </w:p>
    <w:p>
      <w:pPr>
        <w:pStyle w:val="ListNumber"/>
      </w:pPr>
      <w:r>
        <w:rPr>
          <w:b/>
        </w:rPr>
        <w:t>通过人工智能转变教与学：可持续教育视角</w:t>
      </w:r>
      <w:r>
        <w:t>｜Zenodo (CERN European Organization for Nuclear Research)｜2026-10-07</w:t>
      </w:r>
    </w:p>
    <w:p>
      <w:pPr>
        <w:pStyle w:val="ListNumber"/>
      </w:pPr>
      <w:r>
        <w:rPr>
          <w:b/>
        </w:rPr>
        <w:t>星巴克：数字便利能否保留咖啡馆体验？</w:t>
      </w:r>
      <w:r>
        <w:t>｜Journal of Information Technology Teaching Cases｜2026-10-09</w:t>
      </w:r>
    </w:p>
    <w:p>
      <w:pPr>
        <w:pStyle w:val="ListNumber"/>
      </w:pPr>
      <w:r>
        <w:rPr>
          <w:b/>
        </w:rPr>
        <w:t>职前教师的学校路径与《古兰经》阅读能力：一项混合方法研究</w:t>
      </w:r>
      <w:r>
        <w:t>｜Dirasah International Journal of Islamic Studies｜2026-10-09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Online Teaching and Learning in South Asian Higher Education: Challenges and Emerging Opportunities for Teacher Education and Physical Education / 南亚高等教育中的在线教学与学习：教师教育与体育教育的挑战及新兴机会</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Online Teaching and Learning in South Asian Higher Education: Challenges and Emerging Opportunities for Teacher Education and Physical Education / 南亚高等教育中的在线教学与学习：教师教育与体育教育的挑战及新兴机会</w:t>
            </w:r>
          </w:p>
        </w:tc>
      </w:tr>
      <w:tr>
        <w:tc>
          <w:tcPr>
            <w:tcW w:type="dxa" w:w="4997"/>
          </w:tcPr>
          <w:p>
            <w:r>
              <w:rPr>
                <w:b/>
              </w:rPr>
              <w:t>作者</w:t>
            </w:r>
          </w:p>
        </w:tc>
        <w:tc>
          <w:tcPr>
            <w:tcW w:type="dxa" w:w="4997"/>
          </w:tcPr>
          <w:p>
            <w:r>
              <w:t>Dr. Vikas Kundu</w:t>
            </w:r>
          </w:p>
        </w:tc>
      </w:tr>
      <w:tr>
        <w:tc>
          <w:tcPr>
            <w:tcW w:type="dxa" w:w="4997"/>
          </w:tcPr>
          <w:p>
            <w:r>
              <w:rPr>
                <w:b/>
              </w:rPr>
              <w:t>期刊及影响因子</w:t>
            </w:r>
          </w:p>
        </w:tc>
        <w:tc>
          <w:tcPr>
            <w:tcW w:type="dxa" w:w="4997"/>
          </w:tcPr>
          <w:p>
            <w:r>
              <w:t>白名单未提供影响因子 / 白名单未提供JCR分区；SSCI分类标注为 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https://doi.org/10.64823/ijepp.2601012</w:t>
            </w:r>
          </w:p>
        </w:tc>
      </w:tr>
      <w:tr>
        <w:tc>
          <w:tcPr>
            <w:tcW w:type="dxa" w:w="4997"/>
          </w:tcPr>
          <w:p>
            <w:r>
              <w:rPr>
                <w:b/>
              </w:rPr>
              <w:t>在线发表时间</w:t>
            </w:r>
          </w:p>
        </w:tc>
        <w:tc>
          <w:tcPr>
            <w:tcW w:type="dxa" w:w="4997"/>
          </w:tcPr>
          <w:p>
            <w:r>
              <w:t>2026-10-08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https://doi.org/10.64823/ijepp.2601012</w:t>
              </w:r>
            </w:hyperlink>
          </w:p>
        </w:tc>
      </w:tr>
    </w:tbl>
    <w:p>
      <w:pPr>
        <w:pStyle w:val="Heading3"/>
      </w:pPr>
      <w:r>
        <w:t>研究摘要</w:t>
      </w:r>
    </w:p>
    <w:p>
      <w:r>
        <w:t>在线教学与学习已成为南亚高等教育中的长期组成部分，但其教育价值并不只取决于是否能够接入数字平台。本文是一项批判性整合综述，检视南亚在线高等教育的发展，并特别聚焦其对教师教育和体育教育的启示。文章基于近期区域报告、同行评审综述、政策文件和在线学习基础理论，综合了数字不平等、教师能力、学习者参与、评估、学术诚信、人工智能、可及性和质量保障等方面的证据。分析显示，南亚机构已从疫情时期的紧急远程教学转向更复杂的可持续数字化转型阶段，但不同国家和机构之间进展不均衡。教师教育需要显性发展数字教学能力、真实性评估和有督导的专业实践；体育教育则需要学科敏感的混合模式，因为具身、心理运动和与安全相关的成果无法完全在线复现。生成式人工智能为个性化学习、反馈、多语言支持和专业发展提供了新兴机会，但也带来隐私、偏见、学术诚信和过度依赖等风险。文章提出一个情境回应式在线教学与学习框架，涵盖基础设施准备、教学对齐、教师能力、学习者支持、包容性可及、真实性评估、学科敏感设计和负责任创新。文章主张，南亚在线高等教育的未来不应由采用技术的数量来定义，而应由技术整合的质量、公平性和教育目的来定义。</w:t>
      </w:r>
    </w:p>
    <w:p>
      <w:pPr>
        <w:pStyle w:val="Heading3"/>
      </w:pPr>
      <w:r>
        <w:t>研究主要内容</w:t>
      </w:r>
    </w:p>
    <w:p>
      <w:r>
        <w:t>该文为批判性整合综述，聚焦南亚高等教育在线教学与学习的发展，尤其讨论其对教师教育和体育教育的意义。文章基于近期区域报告、同行评审综述、政策文件及在线学习基础理论，综合数字不平等、教师能力、学习者参与、评估、学术诚信、人工智能、可及性与质量保障等议题。分析指出，南亚机构已从疫情时期的紧急远程教学转向更复杂的可持续数字化转型阶段，但国家与机构间进展不均衡。教师教育需要明确的数字教学能力培养、真实性评估和有督导的专业实践；体育教育则需要学科敏感的混合模式，因为具身、心理运动和与安全相关的学习成果无法完全在线复现。生成式AI带来个性化学习、反馈、多语言支持和专业发展机会，同时带来隐私、偏见、学术诚信和过度依赖风险。文章提出情境回应式在线教学与学习框架，包含基础设施准备、教学对齐、教师能力、学习者支持、包容性可及、真实性评估、学科敏感设计和负责任创新等维度。</w:t>
      </w:r>
    </w:p>
    <w:p>
      <w:pPr>
        <w:pStyle w:val="Heading3"/>
      </w:pPr>
      <w:r>
        <w:t>研究论点</w:t>
      </w:r>
    </w:p>
    <w:p>
      <w:r>
        <w:t>论文主张：南亚在线高等教育的未来不应由采用技术的数量来定义，而应由技术整合的质量、公平性和教育目的来定义；在线教学的教育价值取决于超越数字平台接入的系统性设计与支持。</w:t>
      </w:r>
    </w:p>
    <w:p>
      <w:pPr>
        <w:pStyle w:val="Heading3"/>
      </w:pPr>
      <w:r>
        <w:t>研究问题</w:t>
      </w:r>
    </w:p>
    <w:p>
      <w:r>
        <w:t>摘要未明确陈述研究问题。其综述目标可概括为：检视南亚在线高等教育的发展，并聚焦其对教师教育和体育教育的挑战与新兴机会。</w:t>
      </w:r>
    </w:p>
    <w:p>
      <w:pPr>
        <w:pStyle w:val="Heading3"/>
      </w:pPr>
      <w:r>
        <w:t>研究方法</w:t>
      </w:r>
    </w:p>
    <w:p>
      <w:r>
        <w:t>研究类型：批判性整合综述（critical integrative review），不是定量、定性或混合方法的实证研究。样本/参与者：摘要未说明人类参与者或实证样本。数据来源：近期区域报告、同行评审综述、政策文件和在线学习基础理论。分析方法：围绕数字不平等、教师能力、学习者参与、评估、学术诚信、人工智能、可及性和质量保障等主题进行证据综合，并据此提出情境回应式在线教学与学习框架。缺失信息：摘要未说明系统检索策略、纳入与排除标准、文献数量、质量评价方法以及是否收集一手数据。</w:t>
      </w:r>
    </w:p>
    <w:p>
      <w:pPr>
        <w:pStyle w:val="Heading3"/>
      </w:pPr>
      <w:r>
        <w:t>主要发现</w:t>
      </w:r>
    </w:p>
    <w:p>
      <w:r>
        <w:t>1）南亚高等教育机构已从疫情时期的紧急远程教学转向更复杂的可持续数字化转型阶段，但不同国家和机构之间进展不均衡。2）教师教育需要显性发展数字教学能力、真实性评估和有督导的专业实践；体育教育需要学科敏感的混合模式，因为具身、心理运动和与安全相关的成果无法完全在线复现。3）生成式AI为个性化学习、反馈、多语言支持和专业发展提供新兴机会，但也带来隐私、偏见、学术诚信和过度依赖风险；文章据此提出包含基础设施准备、教学对齐、教师能力、学习者支持、包容性可及、真实性评估、学科敏感设计和负责任创新的情境回应式框架。</w:t>
      </w:r>
    </w:p>
    <w:p>
      <w:pPr>
        <w:pStyle w:val="Heading3"/>
      </w:pPr>
      <w:r>
        <w:t>对教师教育研究的启示</w:t>
      </w:r>
    </w:p>
    <w:p>
      <w:r>
        <w:t>该综述未报告一手实证数据，但为教师教育研究提供以下前沿议题：在线与混合环境中教师数字教学能力、真实性评估、有督导的专业实践，以及体育教育等学科敏感的混合教学设计。研究方法上，未来研究若欲验证该综述提出的框架，宜明确研究设计（如混合方法、准实验、纵向追踪、跨国比较）、样本与情境、数据来源（如政策文件、机构报告、教师/学生问卷、访谈、LMS日志、评估记录）和分析策略；同时需特别报告数字公平、包容性可及、生成式AI伦理与教师专业发展效果。当前文献缺口在于摘要未显示系统综述检索与质量评价细节，后续研究可补足可复制的证据综合程序与实证检验。</w:t>
      </w:r>
    </w:p>
    <w:p>
      <w:pPr>
        <w:pStyle w:val="Heading3"/>
      </w:pPr>
      <w:r>
        <w:t>APA引用格式</w:t>
      </w:r>
    </w:p>
    <w:p>
      <w:r>
        <w:t>Kundu, V. (2026). Online teaching and learning in South Asian higher education: Challenges and emerging opportunities for teacher education and physical education. International Journal of Education Pedagogy and Psychology. https://doi.org/10.64823/ijepp.2601012</w:t>
      </w:r>
    </w:p>
    <w:p>
      <w:r>
        <w:br w:type="page"/>
      </w:r>
    </w:p>
    <w:p>
      <w:pPr>
        <w:pStyle w:val="Heading2"/>
      </w:pPr>
      <w:r>
        <w:t>2. Unpacking individual differences in AI teachable agent engagement: Associations with engagement and mathematics exam performance across learner groups / 解构AI可教代理参与中的个体差异：不同学习者群体的参与度与数学考试成绩关联</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Unpacking individual differences in AI teachable agent engagement: Associations with engagement and mathematics exam performance across learner groups / 解构AI可教代理参与中的个体差异：不同学习者群体的参与度与数学考试成绩关联</w:t>
            </w:r>
          </w:p>
        </w:tc>
      </w:tr>
      <w:tr>
        <w:tc>
          <w:tcPr>
            <w:tcW w:type="dxa" w:w="4997"/>
          </w:tcPr>
          <w:p>
            <w:r>
              <w:rPr>
                <w:b/>
              </w:rPr>
              <w:t>作者</w:t>
            </w:r>
          </w:p>
        </w:tc>
        <w:tc>
          <w:tcPr>
            <w:tcW w:type="dxa" w:w="4997"/>
          </w:tcPr>
          <w:p>
            <w:r>
              <w:t>Yinqi Zhang-Kopf, Chenglu Li, Gökhan Gülfidan, Hai Li, Rui Guo</w:t>
            </w:r>
          </w:p>
        </w:tc>
      </w:tr>
      <w:tr>
        <w:tc>
          <w:tcPr>
            <w:tcW w:type="dxa" w:w="4997"/>
          </w:tcPr>
          <w:p>
            <w:r>
              <w:rPr>
                <w:b/>
              </w:rPr>
              <w:t>期刊及影响因子</w:t>
            </w:r>
          </w:p>
        </w:tc>
        <w:tc>
          <w:tcPr>
            <w:tcW w:type="dxa" w:w="4997"/>
          </w:tcPr>
          <w:p>
            <w:r>
              <w:t>期刊：Learning and Individual Differences；SSCI分类：Educational, English, Psychology；影响因子与JCR分区：白名单未提供影响因子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1873-3425</w:t>
            </w:r>
          </w:p>
        </w:tc>
      </w:tr>
      <w:tr>
        <w:tc>
          <w:tcPr>
            <w:tcW w:type="dxa" w:w="4997"/>
          </w:tcPr>
          <w:p>
            <w:r>
              <w:rPr>
                <w:b/>
              </w:rPr>
              <w:t>卷期/DOI</w:t>
            </w:r>
          </w:p>
        </w:tc>
        <w:tc>
          <w:tcPr>
            <w:tcW w:type="dxa" w:w="4997"/>
          </w:tcPr>
          <w:p>
            <w:r>
              <w:t>卷期信息：摘要与元数据未提供；DOI：https://doi.org/10.1016/j.lindif.2026.103009</w:t>
            </w:r>
          </w:p>
        </w:tc>
      </w:tr>
      <w:tr>
        <w:tc>
          <w:tcPr>
            <w:tcW w:type="dxa" w:w="4997"/>
          </w:tcPr>
          <w:p>
            <w:r>
              <w:rPr>
                <w:b/>
              </w:rPr>
              <w:t>在线发表时间</w:t>
            </w:r>
          </w:p>
        </w:tc>
        <w:tc>
          <w:tcPr>
            <w:tcW w:type="dxa" w:w="4997"/>
          </w:tcPr>
          <w:p>
            <w:r>
              <w:t>2026-10-07</w:t>
            </w:r>
          </w:p>
        </w:tc>
      </w:tr>
      <w:tr>
        <w:tc>
          <w:tcPr>
            <w:tcW w:type="dxa" w:w="4997"/>
          </w:tcPr>
          <w:p>
            <w:r>
              <w:rPr>
                <w:b/>
              </w:rPr>
              <w:t>SSCI分类</w:t>
            </w:r>
          </w:p>
        </w:tc>
        <w:tc>
          <w:tcPr>
            <w:tcW w:type="dxa" w:w="4997"/>
          </w:tcPr>
          <w:p>
            <w:r>
              <w:t>Educational；English；Psychology</w:t>
            </w:r>
          </w:p>
        </w:tc>
      </w:tr>
      <w:tr>
        <w:tc>
          <w:tcPr>
            <w:tcW w:type="dxa" w:w="4997"/>
          </w:tcPr>
          <w:p>
            <w:r>
              <w:rPr>
                <w:b/>
              </w:rPr>
              <w:t>论文链接</w:t>
            </w:r>
          </w:p>
        </w:tc>
        <w:tc>
          <w:tcPr>
            <w:tcW w:type="dxa" w:w="4997"/>
          </w:tcPr>
          <w:p>
            <w:hyperlink r:id="rId10">
              <w:r>
                <w:rPr>
                  <w:color w:val="0563C1"/>
                  <w:u w:val="single"/>
                </w:rPr>
                <w:t>https://doi.org/10.1016/j.lindif.2026.103009</w:t>
              </w:r>
            </w:hyperlink>
          </w:p>
        </w:tc>
      </w:tr>
    </w:tbl>
    <w:p>
      <w:pPr>
        <w:pStyle w:val="Heading3"/>
      </w:pPr>
      <w:r>
        <w:t>研究摘要</w:t>
      </w:r>
    </w:p>
    <w:p>
      <w:r>
        <w:t>本研究考察中学生在与AI可教代理（teachable agent）互动进行数学学习过程中的个体差异，重点关注学生的个体特征及其辅导策略使用如何塑造学习结果。研究对实验组192名学生与常规教学（business-as-usual）组205名学生进行数据分析，结果显示：学习条件、基线数学成绩、种族与读写水平能显著预测学生在一项高利害数学测评中的表现；辅导策略使用与学习表现之间的关联强度在不同学生用户群体之间存在差异。滞后序列分析（lag sequential analysis）进一步显示：（a）男生学习者连续提问与发送跑题信息的行为更多；（b）被代表的种族群体学习者表现出更多由反馈指向自我反思的方向性策略序列；（c）英语读写水平处于平均及以上的学习者使用适应性辅导策略更多。研究结论强调，在设计自适应AI支持的辅导系统时，需要考虑学习者特征与参与模式。教育相关性陈述指出：对历史性弱势学习者群体的参与数据与高利害州级考试成绩分析表明，（a）使用可教代理开展“以教促学”整体上具有效果；（b）辅导策略使用与数学学习结果的关联在不同用户群体间存在差异；（c）在种族、性别与英语读写水平上呈现出不同的行为模式；因此将可教代理整合进数学学习不应采取“一刀切”方式，设计学生—代理互动时须考虑学习者差异，以支持最优参与度与学习结果。</w:t>
      </w:r>
    </w:p>
    <w:p>
      <w:pPr>
        <w:pStyle w:val="Heading3"/>
      </w:pPr>
      <w:r>
        <w:t>研究主要内容</w:t>
      </w:r>
    </w:p>
    <w:p>
      <w:r>
        <w:t>论文聚焦中学数学学习情境中AI可教代理的应用，探讨学生个体差异（基线数学成绩、种族、性别、英语读写水平）如何与辅导策略使用共同影响学习结果。研究比较了实验组（与AI可教代理互动开展以教促学）与常规教学组，并结合高利害州级数学测评成绩与学生—代理互动数据展开分析，采用滞后序列分析刻画不同学习者群体的行为序列模式。</w:t>
      </w:r>
    </w:p>
    <w:p>
      <w:pPr>
        <w:pStyle w:val="Heading3"/>
      </w:pPr>
      <w:r>
        <w:t>研究论点</w:t>
      </w:r>
    </w:p>
    <w:p>
      <w:r>
        <w:t>核心论点是：AI可教代理支持下的“以教促学”整体上对中学数学学习有效，但其效果并非对所有学习者一致；辅导策略使用与数学考试成绩之间的关联强度因学习者特征（学习条件、基线成绩、种族、读写水平、性别）而异，因此自适应AI辅导系统设计与教学整合必须考虑学习者个体差异与参与行为模式，而非采用统一方案。</w:t>
      </w:r>
    </w:p>
    <w:p>
      <w:pPr>
        <w:pStyle w:val="Heading3"/>
      </w:pPr>
      <w:r>
        <w:t>研究问题</w:t>
      </w:r>
    </w:p>
    <w:p>
      <w:r>
        <w:t>摘要未明确陈述研究问题。根据摘要内容可推断，研究关注：在与AI可教代理互动进行中学数学学习时，学生的个体特征及其辅导策略使用如何影响学习结果；辅导策略使用与学习表现之间的关联在不同学习者群体（性别、种族、英语读写水平等）之间是否存在差异，以及不同群体的互动行为序列模式有何不同。</w:t>
      </w:r>
    </w:p>
    <w:p>
      <w:pPr>
        <w:pStyle w:val="Heading3"/>
      </w:pPr>
      <w:r>
        <w:t>研究方法</w:t>
      </w:r>
    </w:p>
    <w:p>
      <w:r>
        <w:t>研究类型：定量研究，采用实验组与常规教学（business-as-usual）组的对比设计（摘要未说明是否为随机分配，故无法判断是否为严格随机对照实验）。样本/参与者：实验组192名学生，常规教学组205名学生，共397名中学生（摘要未说明年级、学校数量与地区等更详细信息）。数据来源：（1）学生与AI可教代理互动过程中的参与数据/辅导策略使用数据；（2）一项高利害数学测评（教育相关性陈述中称为州级考试）的成绩；（3）基线数学成绩、种族、性别、英语读写水平等个体特征变量。分析方法：预测高利害数学测评表现的统计建模（摘要未说明具体模型类型，如回归或机器学习模型）、跨学习者群体的关联强度比较，以及滞后序列分析（lag sequential analysis）用于识别行为序列模式。伦理审查、缺失数据处理、效应量等信息摘要未说明。</w:t>
      </w:r>
    </w:p>
    <w:p>
      <w:pPr>
        <w:pStyle w:val="Heading3"/>
      </w:pPr>
      <w:r>
        <w:t>主要发现</w:t>
      </w:r>
    </w:p>
    <w:p>
      <w:r>
        <w:t>1. 学习条件、基线数学成绩、种族与读写水平显著预测学生在一项高利害数学测评中的表现；整体上，使用AI可教代理开展“以教促学”对数学学习具有效果。2. 辅导策略使用与学习表现之间的关联强度在不同学生用户群体间存在差异，即策略使用与成绩的关联并非对所有群体一致。3. 滞后序列分析显示三类行为模式差异：（a）男生学习者连续提问及连续发送跑题信息的行为更多；（b）被代表的种族群体学习者表现出更多由反馈指向自我反思的方向性策略序列；（c）英语读写水平处于平均及以上的学习者使用适应性辅导策略更多。</w:t>
      </w:r>
    </w:p>
    <w:p>
      <w:pPr>
        <w:pStyle w:val="Heading3"/>
      </w:pPr>
      <w:r>
        <w:t>对教师教育研究的启示</w:t>
      </w:r>
    </w:p>
    <w:p>
      <w:r>
        <w:t>对教师教育研究的启示可从三方面把握：第一，前沿主题上，该研究将AI可教代理与“以教促学”引入中学数学课堂，提示教师教育需关注AI辅导系统的教学整合、学生—AI互动中的参与度与个体差异，而非仅关注技术可用性。第二，研究设计上，采用实验组与常规教学组对比、并结合高利害标准化测评成绩，为教师教育研究评估AI教学干预的学习成效提供了可借鉴的设计思路（如设置对照条件、纳入基线成绩作为协变量）。第三，数据收集与分析方法上，该研究将学生与AI代理的互动日志（辅导策略使用）与考试数据联结，并使用滞后序列分析刻画行为序列模式，提示教师教育研究可采集过程性互动数据、采用序列分析方法揭示不同教师或学生群体的行为路径差异；同时在结论推广上强调“非一刀切”，提示教师培训需培养面向差异化学习者（性别、种族、语言读写水平）的适应性教学与AI使用能力。需注意，摘要未报告具体教学干预时长、教师角色与培训安排，相关启示有待原文进一步核实。</w:t>
      </w:r>
    </w:p>
    <w:p>
      <w:pPr>
        <w:pStyle w:val="Heading3"/>
      </w:pPr>
      <w:r>
        <w:t>APA引用格式</w:t>
      </w:r>
    </w:p>
    <w:p>
      <w:r>
        <w:t>Zhang-Kopf, Y., Li, C., Gülfidan, G., Li, H., &amp; Guo, R. (2026). Unpacking individual differences in AI teachable agent engagement: Associations with engagement and mathematics exam performance across learner groups. Learning and Individual Differences. https://doi.org/10.1016/j.lindif.2026.103009</w:t>
      </w:r>
    </w:p>
    <w:p>
      <w:r>
        <w:br w:type="page"/>
      </w:r>
    </w:p>
    <w:p>
      <w:pPr>
        <w:pStyle w:val="Heading2"/>
      </w:pPr>
      <w:r>
        <w:t>3. Transforming Teaching and Learning through Artificial Intelligence: A Sustainable Education Perspective / 通过人工智能转变教与学：可持续教育视角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Transforming Teaching and Learning through Artificial Intelligence: A Sustainable Education Perspective / 通过人工智能转变教与学：可持续教育视角</w:t>
            </w:r>
          </w:p>
        </w:tc>
      </w:tr>
      <w:tr>
        <w:tc>
          <w:tcPr>
            <w:tcW w:type="dxa" w:w="4997"/>
          </w:tcPr>
          <w:p>
            <w:r>
              <w:rPr>
                <w:b/>
              </w:rPr>
              <w:t>作者</w:t>
            </w:r>
          </w:p>
        </w:tc>
        <w:tc>
          <w:tcPr>
            <w:tcW w:type="dxa" w:w="4997"/>
          </w:tcPr>
          <w:p>
            <w:r>
              <w:t>Amrita A. Jadhav</w:t>
            </w:r>
          </w:p>
        </w:tc>
      </w:tr>
      <w:tr>
        <w:tc>
          <w:tcPr>
            <w:tcW w:type="dxa" w:w="4997"/>
          </w:tcPr>
          <w:p>
            <w:r>
              <w:rPr>
                <w:b/>
              </w:rPr>
              <w:t>期刊及影响因子</w:t>
            </w:r>
          </w:p>
        </w:tc>
        <w:tc>
          <w:tcPr>
            <w:tcW w:type="dxa" w:w="4997"/>
          </w:tcPr>
          <w:p>
            <w:r>
              <w:t>期刊/平台：Zenodo（CERN European Organization for Nuclear Research）；SSCI分类：Management；影响因子：白名单未提供；JCR分区：白名单未提供。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卷期信息：摘要及元数据未说明；DOI：https://doi.org/10.5281/zenodo.23205942</w:t>
            </w:r>
          </w:p>
        </w:tc>
      </w:tr>
      <w:tr>
        <w:tc>
          <w:tcPr>
            <w:tcW w:type="dxa" w:w="4997"/>
          </w:tcPr>
          <w:p>
            <w:r>
              <w:rPr>
                <w:b/>
              </w:rPr>
              <w:t>在线发表时间</w:t>
            </w:r>
          </w:p>
        </w:tc>
        <w:tc>
          <w:tcPr>
            <w:tcW w:type="dxa" w:w="4997"/>
          </w:tcPr>
          <w:p>
            <w:r>
              <w:t>2026-10-07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https://doi.org/10.5281/zenodo.23205942</w:t>
              </w:r>
            </w:hyperlink>
          </w:p>
        </w:tc>
      </w:tr>
    </w:tbl>
    <w:p>
      <w:pPr>
        <w:pStyle w:val="Heading3"/>
      </w:pPr>
      <w:r>
        <w:t>研究摘要</w:t>
      </w:r>
    </w:p>
    <w:p>
      <w:r>
        <w:t>人工智能正在迅速重塑全球教育实践，并引发紧迫问题：其整合是支持还是削弱教育系统的长期可持续性。本文从可持续教育视角，以联合国可持续发展目标4（优质教育）为框架，考察AI对教与学的转变。研究基于2014—2024年发表的同行评议文献和政策文件进行叙述性综合，识别出AI与可持续性交汇的五个主题领域：个性化学习、教师增强、公平与包容、伦理与隐私，以及教育AI基础设施的环境足迹。研究发现，AI赋能的个性化学习可以改善学习结果，但如果获取机会和数字素养分布不均，可能扩大公平差距。AI具有显著潜力来增强而非取代教师，同时需要强有力的伦理治理以应对偏见、隐私和透明度问题。大规模AI部署的环境成本仍是未被充分认识的可持续性维度。论文结论认为，教育中可持续的AI需要协调政策、教育者能动性、所有利益相关者的AI素养，以及对包容、透明和生态负责任设计的承诺。</w:t>
      </w:r>
    </w:p>
    <w:p>
      <w:pPr>
        <w:pStyle w:val="Heading3"/>
      </w:pPr>
      <w:r>
        <w:t>研究主要内容</w:t>
      </w:r>
    </w:p>
    <w:p>
      <w:r>
        <w:t>论文围绕AI在教育中与可持续性的交叉展开，采用叙述性综合方式整合2014—2024年同行评议文献和政策文件，并以联合国可持续发展目标4（优质教育）为分析框架。主要内容包括五个主题：个性化学习、教师增强、公平与包容、伦理与隐私、教育AI基础设施的环境足迹。论文讨论AI对教学与学习转型的潜力与风险，并提出可持续AI教育所需的条件。</w:t>
      </w:r>
    </w:p>
    <w:p>
      <w:pPr>
        <w:pStyle w:val="Heading3"/>
      </w:pPr>
      <w:r>
        <w:t>研究论点</w:t>
      </w:r>
    </w:p>
    <w:p>
      <w:r>
        <w:t>核心论点是：AI能够推动教与学转型并增强教师，但其教育应用是否可持续取决于政策协调、教育者能动性、利益相关者AI素养，以及包容、透明和生态负责任的设计；若忽视公平、伦理与环境成本，AI可能削弱教育系统的长期可持续性。</w:t>
      </w:r>
    </w:p>
    <w:p>
      <w:pPr>
        <w:pStyle w:val="Heading3"/>
      </w:pPr>
      <w:r>
        <w:t>研究问题</w:t>
      </w:r>
    </w:p>
    <w:p>
      <w:r>
        <w:t>摘要提出的核心问题是：AI融入教育是支持还是削弱教育系统的长期可持续性？论文在联合国可持续发展目标4框架下考察AI如何转变教与学。具体研究问题或子问题摘要未逐条说明。</w:t>
      </w:r>
    </w:p>
    <w:p>
      <w:pPr>
        <w:pStyle w:val="Heading3"/>
      </w:pPr>
      <w:r>
        <w:t>研究方法</w:t>
      </w:r>
    </w:p>
    <w:p>
      <w:r>
        <w:t>研究类型：文献综述/叙述性综合（narrative synthesis），非一手实证研究；定性综合。样本或参与者：摘要未说明具体文献数量、政策文件数量或参与者。数据来源：2014—2024年发表的同行评议文献和政策文件。分析方法：叙述性综合（narrative synthesis）。检索数据库、筛选标准、编码过程等摘要未说明。</w:t>
      </w:r>
    </w:p>
    <w:p>
      <w:pPr>
        <w:pStyle w:val="Heading3"/>
      </w:pPr>
      <w:r>
        <w:t>主要发现</w:t>
      </w:r>
    </w:p>
    <w:p>
      <w:r>
        <w:t>1. AI赋能的个性化学习可改善学习结果，但若获取机会和数字素养分布不均，可能扩大公平差距。2. AI具有增强而非取代教师的潜力，但需要强有力的伦理治理来应对偏见、隐私和透明度问题。3. 大规模AI部署的环境成本仍是未被充分认识的可持续性维度；可持续AI教育需要政策协调、教育者能动性、利益相关者AI素养以及包容、透明和生态负责任的设计。</w:t>
      </w:r>
    </w:p>
    <w:p>
      <w:pPr>
        <w:pStyle w:val="Heading3"/>
      </w:pPr>
      <w:r>
        <w:t>对教师教育研究的启示</w:t>
      </w:r>
    </w:p>
    <w:p>
      <w:r>
        <w:t>对教师教育研究的启示：1）前沿主题上，应关注教师AI素养/智能素养、数据素养、AI增强教学而非替代教师、公平与包容、伦理隐私及AI环境成本。2）研究设计上，仅有叙述性综述不足以检验因果与实施效果，未来可采用混合方法、准实验、纵向追踪、多案例比较或政策分析，考察AI整合对教师角色、教学实践和学习公平的影响。3）数据收集与方法上，可结合教师问卷、课堂观察、访谈、平台日志、政策文本分析和学生成绩数据；同时应明确检索数据库、筛选标准、编码框架和利益相关者参与，以提升可复现性。摘要未提供具体教师教育干预方案，相关启示需结合实证研究进一步验证。</w:t>
      </w:r>
    </w:p>
    <w:p>
      <w:pPr>
        <w:pStyle w:val="Heading3"/>
      </w:pPr>
      <w:r>
        <w:t>APA引用格式</w:t>
      </w:r>
    </w:p>
    <w:p>
      <w:r>
        <w:t>Jadhav, A. A. (2026). Transforming teaching and learning through artificial intelligence: A sustainable education perspective. Zenodo. https://doi.org/10.5281/zenodo.23205942</w:t>
      </w:r>
    </w:p>
    <w:p>
      <w:r>
        <w:br w:type="page"/>
      </w:r>
    </w:p>
    <w:p>
      <w:pPr>
        <w:pStyle w:val="Heading2"/>
      </w:pPr>
      <w:r>
        <w:t>4. Starbucks: Can digital convenience preserve the coffeehouse experience? / 星巴克：数字便利能否保留咖啡馆体验？</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Starbucks: Can digital convenience preserve the coffeehouse experience? / 星巴克：数字便利能否保留咖啡馆体验？</w:t>
            </w:r>
          </w:p>
        </w:tc>
      </w:tr>
      <w:tr>
        <w:tc>
          <w:tcPr>
            <w:tcW w:type="dxa" w:w="4997"/>
          </w:tcPr>
          <w:p>
            <w:r>
              <w:rPr>
                <w:b/>
              </w:rPr>
              <w:t>作者</w:t>
            </w:r>
          </w:p>
        </w:tc>
        <w:tc>
          <w:tcPr>
            <w:tcW w:type="dxa" w:w="4997"/>
          </w:tcPr>
          <w:p>
            <w:r>
              <w:t>Ajoy Kumar Dey</w:t>
            </w:r>
          </w:p>
        </w:tc>
      </w:tr>
      <w:tr>
        <w:tc>
          <w:tcPr>
            <w:tcW w:type="dxa" w:w="4997"/>
          </w:tcPr>
          <w:p>
            <w:r>
              <w:rPr>
                <w:b/>
              </w:rPr>
              <w:t>期刊及影响因子</w:t>
            </w:r>
          </w:p>
        </w:tc>
        <w:tc>
          <w:tcPr>
            <w:tcW w:type="dxa" w:w="4997"/>
          </w:tcPr>
          <w:p>
            <w:r>
              <w:t>期刊：Journal of Information Technology Teaching Cases；SSCI分类：Information Science &amp; Library Science, 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卷期：摘要未说明；DOI：10.1177/20438869261495573</w:t>
            </w:r>
          </w:p>
        </w:tc>
      </w:tr>
      <w:tr>
        <w:tc>
          <w:tcPr>
            <w:tcW w:type="dxa" w:w="4997"/>
          </w:tcPr>
          <w:p>
            <w:r>
              <w:rPr>
                <w:b/>
              </w:rPr>
              <w:t>在线发表时间</w:t>
            </w:r>
          </w:p>
        </w:tc>
        <w:tc>
          <w:tcPr>
            <w:tcW w:type="dxa" w:w="4997"/>
          </w:tcPr>
          <w:p>
            <w:r>
              <w:t>2026-10-09</w:t>
            </w:r>
          </w:p>
        </w:tc>
      </w:tr>
      <w:tr>
        <w:tc>
          <w:tcPr>
            <w:tcW w:type="dxa" w:w="4997"/>
          </w:tcPr>
          <w:p>
            <w:r>
              <w:rPr>
                <w:b/>
              </w:rPr>
              <w:t>SSCI分类</w:t>
            </w:r>
          </w:p>
        </w:tc>
        <w:tc>
          <w:tcPr>
            <w:tcW w:type="dxa" w:w="4997"/>
          </w:tcPr>
          <w:p>
            <w:r>
              <w:t>Information Science &amp; Library Science；Management</w:t>
            </w:r>
          </w:p>
        </w:tc>
      </w:tr>
      <w:tr>
        <w:tc>
          <w:tcPr>
            <w:tcW w:type="dxa" w:w="4997"/>
          </w:tcPr>
          <w:p>
            <w:r>
              <w:rPr>
                <w:b/>
              </w:rPr>
              <w:t>论文链接</w:t>
            </w:r>
          </w:p>
        </w:tc>
        <w:tc>
          <w:tcPr>
            <w:tcW w:type="dxa" w:w="4997"/>
          </w:tcPr>
          <w:p>
            <w:hyperlink r:id="rId12">
              <w:r>
                <w:rPr>
                  <w:color w:val="0563C1"/>
                  <w:u w:val="single"/>
                </w:rPr>
                <w:t>https://doi.org/10.1177/20438869261495573</w:t>
              </w:r>
            </w:hyperlink>
          </w:p>
        </w:tc>
      </w:tr>
    </w:tbl>
    <w:p>
      <w:pPr>
        <w:pStyle w:val="Heading3"/>
      </w:pPr>
      <w:r>
        <w:t>研究摘要</w:t>
      </w:r>
    </w:p>
    <w:p>
      <w:r>
        <w:t>本教学案例考察星巴克在数字点单、人工智能（AI）和算法技术日益嵌入业务后，如何重新设计门店运营。移动点单提升了顾客便利，但也因数字生成需求与门店产能、广泛定制、人员约束和咖啡馆体验相互作用而加剧运营压力。案例将学生置于2025年9月底星巴克董事长兼首席执行官Brian Niccol的位置。Niccol发起“回归星巴克”（Back to Starbucks）转型，包括菜单简化、增加人员、门店改善和重新强调顾客体验。同时，星巴克正在部署Smart Queue、Green Dot Assist、自动库存盘点以及下一代销售点系统等技术。尚未解决的决策是：下一阶段星巴克数字转型应遵循何种运营逻辑。学生评估四条战略路径：数字优先标准化、产能同步数字运营、格式差异化网络、伙伴增强技术模型。该案例使学生考察技术如何重新分配运营角色、自动化与人类增强之间的选择，以及算法协调对一线自主权和控制的影响。学生最终设计并论证一个技术赋能的运营模型，以处理可扩展性、运营绩效、员工自主权、顾客便利和星巴克咖啡馆体验之间的权衡。</w:t>
      </w:r>
    </w:p>
    <w:p>
      <w:pPr>
        <w:pStyle w:val="Heading3"/>
      </w:pPr>
      <w:r>
        <w:t>研究主要内容</w:t>
      </w:r>
    </w:p>
    <w:p>
      <w:r>
        <w:t>本文为教学案例，而非实证研究。案例聚焦星巴克在移动点单、AI与算法技术嵌入业务后如何重新设计门店运营；以2025年9月底CEO Brian Niccol的“Back to Starbucks”转型为决策情境，呈现菜单简化、增加人员、门店改善、重新强调顾客体验，以及Smart Queue、Green Dot Assist、自动库存盘点、下一代销售点系统等技术部署。案例要求学生评估四条战略路径，并最终设计技术赋能运营模型。</w:t>
      </w:r>
    </w:p>
    <w:p>
      <w:pPr>
        <w:pStyle w:val="Heading3"/>
      </w:pPr>
      <w:r>
        <w:t>研究论点</w:t>
      </w:r>
    </w:p>
    <w:p>
      <w:r>
        <w:t>核心张力是：数字便利与门店产能、广泛定制、人员约束及咖啡馆体验之间存在权衡；技术会重新分配运营角色，并在自动化与人类增强、算法协调与一线自主权/控制之间形成选择。该文以教学案例形式呈现这些张力，摘要未提出可在实证意义上检验的研究假设或因果结论。</w:t>
      </w:r>
    </w:p>
    <w:p>
      <w:pPr>
        <w:pStyle w:val="Heading3"/>
      </w:pPr>
      <w:r>
        <w:t>研究问题</w:t>
      </w:r>
    </w:p>
    <w:p>
      <w:r>
        <w:t>摘要未以研究问题形式明确说明。教学决策问题为：下一阶段星巴克数字转型应遵循何种运营逻辑？以及学生应如何设计并论证一个技术赋能运营模型，以权衡可扩展性、运营绩效、员工自主权、顾客便利和星巴克咖啡馆体验？</w:t>
      </w:r>
    </w:p>
    <w:p>
      <w:pPr>
        <w:pStyle w:val="Heading3"/>
      </w:pPr>
      <w:r>
        <w:t>研究方法</w:t>
      </w:r>
    </w:p>
    <w:p>
      <w:r>
        <w:t>研究类型：教学案例（teaching case），非定量、定性或混合实证研究。样本或参与者：摘要未说明；仅称案例将学生置于CEO决策位置，未说明学生样本、人数或特征。数据来源：摘要未说明；未报告访谈、问卷、档案或企业运营数据等来源。数据收集方法：摘要未说明。分析方法：摘要未说明；案例中的战略路径评估、运营模型设计与论证属于教学设计/课堂任务，不是摘要报告的研究分析方法。</w:t>
      </w:r>
    </w:p>
    <w:p>
      <w:pPr>
        <w:pStyle w:val="Heading3"/>
      </w:pPr>
      <w:r>
        <w:t>主要发现</w:t>
      </w:r>
    </w:p>
    <w:p>
      <w:r>
        <w:t>1. 数字点单提升顾客便利，但数字生成需求与门店产能、广泛定制、人员约束和咖啡馆体验相互作用，加剧运营压力。2. 案例设定在2025年9月底星巴克CEO Brian Niccol发起“Back to Starbucks”转型的背景下，同时部署Smart Queue、Green Dot Assist、自动库存盘点和下一代POS系统，未决问题是下一阶段数字转型的运营逻辑。3. 学生评估四条路径（数字优先标准化、产能同步数字运营、格式差异化网络、伙伴增强技术模型），并考察技术如何重新分配运营角色、自动化与人类增强之间的选择，以及算法协调对一线自主权和控制的影响；摘要未报告实证研究发现。</w:t>
      </w:r>
    </w:p>
    <w:p>
      <w:pPr>
        <w:pStyle w:val="Heading3"/>
      </w:pPr>
      <w:r>
        <w:t>对教师教育研究的启示</w:t>
      </w:r>
    </w:p>
    <w:p>
      <w:r>
        <w:t>本文主题为星巴克商业/信息系统教学案例，不聚焦学前教育或基础教育，也不涉及AI教学应用、教师数字素养/智能素养/数据素养、教师教育中的AI整合或教育数字化背景下的教师角色，因此对教师教育研究的直接启示有限。可迁移的启示是：若在教师教育中采用案例教学，可借鉴其围绕数字化转型中的技术—组织—人权衡来设计课堂案例，引导教师/师范生分析算法协调、自动化与人类增强、一线专业自主权等问题。但本文摘要未说明实证样本、数据收集与分析方法，不能作为实证研究设计、数据收集或分析方法的范例。</w:t>
      </w:r>
    </w:p>
    <w:p>
      <w:pPr>
        <w:pStyle w:val="Heading3"/>
      </w:pPr>
      <w:r>
        <w:t>APA引用格式</w:t>
      </w:r>
    </w:p>
    <w:p>
      <w:r>
        <w:t>Dey, A. K. (2026). Starbucks: Can digital convenience preserve the coffeehouse experience? Journal of Information Technology Teaching Cases. https://doi.org/10.1177/20438869261495573</w:t>
      </w:r>
    </w:p>
    <w:p>
      <w:r>
        <w:br w:type="page"/>
      </w:r>
    </w:p>
    <w:p>
      <w:pPr>
        <w:pStyle w:val="Heading2"/>
      </w:pPr>
      <w:r>
        <w:t>5. Schooling Pathways and Qur’anic Reading Competence among Pre-Service Teachers: A Mixed-Methods Study / 职前教师的学校路径与《古兰经》阅读能力：一项混合方法研究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Schooling Pathways and Qur’anic Reading Competence among Pre-Service Teachers: A Mixed-Methods Study / 职前教师的学校路径与《古兰经》阅读能力：一项混合方法研究</w:t>
            </w:r>
          </w:p>
        </w:tc>
      </w:tr>
      <w:tr>
        <w:tc>
          <w:tcPr>
            <w:tcW w:type="dxa" w:w="4997"/>
          </w:tcPr>
          <w:p>
            <w:r>
              <w:rPr>
                <w:b/>
              </w:rPr>
              <w:t>作者</w:t>
            </w:r>
          </w:p>
        </w:tc>
        <w:tc>
          <w:tcPr>
            <w:tcW w:type="dxa" w:w="4997"/>
          </w:tcPr>
          <w:p>
            <w:r>
              <w:t>Amirul Haq RD, Muhibbuthabry Muhibbuthabry, Diva Dina, Muhammad Ashadi Rasyad, Muhammad Furqan</w:t>
            </w:r>
          </w:p>
        </w:tc>
      </w:tr>
      <w:tr>
        <w:tc>
          <w:tcPr>
            <w:tcW w:type="dxa" w:w="4997"/>
          </w:tcPr>
          <w:p>
            <w:r>
              <w:rPr>
                <w:b/>
              </w:rPr>
              <w:t>期刊及影响因子</w:t>
            </w:r>
          </w:p>
        </w:tc>
        <w:tc>
          <w:tcPr>
            <w:tcW w:type="dxa" w:w="4997"/>
          </w:tcPr>
          <w:p>
            <w:r>
              <w:t>期刊：Dirasah International Journal of Islamic Studies；SSCI分类：International Relations；白名单未提供影响因子；白名单未提供JCR分区。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DOI：10.59373/drs.v4i2.116（元数据未明确卷期）</w:t>
            </w:r>
          </w:p>
        </w:tc>
      </w:tr>
      <w:tr>
        <w:tc>
          <w:tcPr>
            <w:tcW w:type="dxa" w:w="4997"/>
          </w:tcPr>
          <w:p>
            <w:r>
              <w:rPr>
                <w:b/>
              </w:rPr>
              <w:t>在线发表时间</w:t>
            </w:r>
          </w:p>
        </w:tc>
        <w:tc>
          <w:tcPr>
            <w:tcW w:type="dxa" w:w="4997"/>
          </w:tcPr>
          <w:p>
            <w:r>
              <w:t>2026-10-09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https://doi.org/10.59373/drs.v4i2.116</w:t>
              </w:r>
            </w:hyperlink>
          </w:p>
        </w:tc>
      </w:tr>
    </w:tbl>
    <w:p>
      <w:pPr>
        <w:pStyle w:val="Heading3"/>
      </w:pPr>
      <w:r>
        <w:t>研究摘要</w:t>
      </w:r>
    </w:p>
    <w:p>
      <w:r>
        <w:t>该研究指出，职前教师正确阅读《古兰经》的能力是品格形成与宗教温和的重要维度，也是国家教师专业发展政策的要求。既有《古兰经》读写研究多关注教学策略与项目干预，较少考察职前教师的中等学校背景关联。研究考察中等学校背景（普通高中SMA、职业高中SMK、伊斯兰高中Madrasah Aliyah、伊斯兰寄宿学校Pondok Pesantren）与 Universitas Samudra 教师培训与教育学院2025级855名学生的《古兰经》阅读能力之间的关系。采用解释性顺序混合方法设计，结合描述统计、交叉表、卡方检验、有序回归，并对低能力学生进行定性访谈。结果显示，学校背景与《古兰经》阅读能力显著相关（卡方=93.220, df=12, p&lt;.001），但关系较弱（Cramer's V=.191）。有序回归确认显著关联（卡方=67.667, df=3, p&lt;.001; Nagelkerke R²=.081），伊斯兰寄宿学校毕业生更可能达到较高能力水平。定性发现揭示四个解释主题：学习时长限于小学、除寄宿学校外缺乏正式学术要求、青少年年龄不愿重新学习基础阅读、父母关注不足。研究认为，需要为职前教师提供差异化、去污名化的补救项目。</w:t>
      </w:r>
    </w:p>
    <w:p>
      <w:pPr>
        <w:pStyle w:val="Heading3"/>
      </w:pPr>
      <w:r>
        <w:t>研究主要内容</w:t>
      </w:r>
    </w:p>
    <w:p>
      <w:r>
        <w:t>论文聚焦职前教师的《古兰经》阅读能力，比较不同中等学校背景与能力水平之间的关联，并通过定性访谈解释低能力学生的经历。研究对象为 Universitas Samudra 教师培训与教育学院2025级855名学生。定量部分使用描述统计、交叉表、卡方检验和有序回归；定性部分访谈低能力学生并归纳出四个主题。该文不涉及AI教学应用、教师数字素养/智能素养/数据素养或教育数字化背景下的教学变革，而属于教师教育中的宗教读写能力与学校来源差异议题。</w:t>
      </w:r>
    </w:p>
    <w:p>
      <w:pPr>
        <w:pStyle w:val="Heading3"/>
      </w:pPr>
      <w:r>
        <w:t>研究论点</w:t>
      </w:r>
    </w:p>
    <w:p>
      <w:r>
        <w:t>核心论点是：中等学校背景与职前教师的《古兰经》阅读能力存在显著但较弱的关联；伊斯兰寄宿学校毕业生更可能具备较高能力；低能力与小学后学习中断、缺乏正式学术要求、青少年不愿重学基础阅读以及父母关注不足有关；因此教师教育机构需要实施差异化、去污名化的基础阅读补救。</w:t>
      </w:r>
    </w:p>
    <w:p>
      <w:pPr>
        <w:pStyle w:val="Heading3"/>
      </w:pPr>
      <w:r>
        <w:t>研究问题</w:t>
      </w:r>
    </w:p>
    <w:p>
      <w:r>
        <w:t>摘要未明确以问句形式列出研究问题。其研究目的为：考察中等学校背景（SMA、SMK、Madrasah Aliyah、Pondok Pesantren）与职前教师《古兰经》阅读能力之间的关系，并解释低能力学生的相关经验。</w:t>
      </w:r>
    </w:p>
    <w:p>
      <w:pPr>
        <w:pStyle w:val="Heading3"/>
      </w:pPr>
      <w:r>
        <w:t>研究方法</w:t>
      </w:r>
    </w:p>
    <w:p>
      <w:r>
        <w:t>研究类型：解释性顺序混合方法设计（explanatory sequential mixed-methods）。样本/参与者：855名来自 Universitas Samudra 教师培训与教育学院2025级的学生。数据来源：摘要未说明具体量表、问卷名称、访谈人数或抽样方法；定量数据涉及中等学校背景与《古兰经》阅读能力，定性数据来自对低能力学生的访谈。分析方法：描述统计、交叉表、卡方检验、有序回归；定性访谈用于扩展解释发现并归纳出四个主题，但摘要未明确说明具体定性分析技术（如编码程序或主题分析步骤）。</w:t>
      </w:r>
    </w:p>
    <w:p>
      <w:pPr>
        <w:pStyle w:val="Heading3"/>
      </w:pPr>
      <w:r>
        <w:t>主要发现</w:t>
      </w:r>
    </w:p>
    <w:p>
      <w:r>
        <w:t>1. 学校背景与《古兰经》阅读能力显著相关（卡方=93.220, df=12, p&lt;.001），但效应较弱（Cramer's V=.191）。2. 有序回归确认显著关联（卡方=67.667, df=3, p&lt;.001; Nagelkerke R²=.081），伊斯兰寄宿学校毕业生更可能达到较高能力水平。3. 定性访谈揭示四个解释主题：学习时长仅限于小学、除寄宿学校外缺乏正式学术要求、青少年年龄不愿重新学习基础阅读、父母关注不足。</w:t>
      </w:r>
    </w:p>
    <w:p>
      <w:pPr>
        <w:pStyle w:val="Heading3"/>
      </w:pPr>
      <w:r>
        <w:t>对教师教育研究的启示</w:t>
      </w:r>
    </w:p>
    <w:p>
      <w:r>
        <w:t>对教师教育研究的启示：其一，该研究把职前教师的宗教读写能力与中等学校来源差异联系起来，提示教师教育研究可关注入学前教育经历对专业准备的影响，并设计差异化补救。其二，方法上可借鉴解释性顺序混合方法：先以较大样本的描述统计、卡方和有序回归识别显著关联与弱效应，再针对低能力群体访谈解释机制。其三，数据收集与分析需更透明：未来研究应报告测量工具来源与信效度、抽样方式、访谈人数与定性编码程序；同时，Nagelkerke R²较低说明还需纳入家庭支持、课程要求、学习动机等更多变量。其四，实践上应为职前教师提供去污名化、基础阅读补救项目，而非一刀切要求。该文与AI教学应用、教师数字素养/智能素养/数据素养等主题无直接关联。</w:t>
      </w:r>
    </w:p>
    <w:p>
      <w:pPr>
        <w:pStyle w:val="Heading3"/>
      </w:pPr>
      <w:r>
        <w:t>APA引用格式</w:t>
      </w:r>
    </w:p>
    <w:p>
      <w:r>
        <w:t>Amirul Haq RD, Muhibbuthabry, M., Dina, D., Rasyad, M. A., &amp; Furqan, M. (2026). Schooling pathways and Qur’anic reading competence among pre-service teachers: A mixed-methods study. Dirasah International Journal of Islamic Studies. https://doi.org/10.59373/drs.v4i2.116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101.55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4823/ijepp.2601012" TargetMode="External"/><Relationship Id="rId10" Type="http://schemas.openxmlformats.org/officeDocument/2006/relationships/hyperlink" Target="https://doi.org/10.1016/j.lindif.2026.103009" TargetMode="External"/><Relationship Id="rId11" Type="http://schemas.openxmlformats.org/officeDocument/2006/relationships/hyperlink" Target="https://doi.org/10.5281/zenodo.23205942" TargetMode="External"/><Relationship Id="rId12" Type="http://schemas.openxmlformats.org/officeDocument/2006/relationships/hyperlink" Target="https://doi.org/10.1177/20438869261495573" TargetMode="External"/><Relationship Id="rId13" Type="http://schemas.openxmlformats.org/officeDocument/2006/relationships/hyperlink" Target="https://doi.org/10.59373/drs.v4i2.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