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2026-08-07 10:01:13（北京时间）</w:t>
            </w:r>
          </w:p>
        </w:tc>
      </w:tr>
      <w:tr>
        <w:tc>
          <w:tcPr>
            <w:tcW w:type="dxa" w:w="4997"/>
          </w:tcPr>
          <w:p>
            <w:r>
              <w:rPr>
                <w:b/>
              </w:rPr>
              <w:t>检索窗口</w:t>
            </w:r>
          </w:p>
        </w:tc>
        <w:tc>
          <w:tcPr>
            <w:tcW w:type="dxa" w:w="4997"/>
          </w:tcPr>
          <w:p>
            <w:r>
              <w:t>2023-08-08 — 2026-08-07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实践与教育公平两大议题，涵盖量、质、混合方法。最贴近中国语境的研究趋势为：AI支持教师专业能力发展，如生成式AI辅助提问教学；同时关注技术排斥风险——从早期教育决策到图书馆AI利用，均强调实证评估与基础设施支持，对推进教育数字化转型有参考意义。</w:t>
      </w:r>
    </w:p>
    <w:p>
      <w:pPr>
        <w:pStyle w:val="Heading1"/>
      </w:pPr>
      <w:r>
        <w:t>目录</w:t>
      </w:r>
    </w:p>
    <w:p>
      <w:pPr>
        <w:pStyle w:val="ListNumber"/>
      </w:pPr>
      <w:r>
        <w:rPr>
          <w:b/>
        </w:rPr>
        <w:t>生成式AI支持的脚手架提升职前科学教师科学探究提问能力的研究</w:t>
      </w:r>
      <w:r>
        <w:t>｜Higher Education Studies｜2026-08-06</w:t>
      </w:r>
    </w:p>
    <w:p>
      <w:pPr>
        <w:pStyle w:val="ListNumber"/>
      </w:pPr>
      <w:r>
        <w:rPr>
          <w:b/>
        </w:rPr>
        <w:t>教育排斥作为能力—资本联结：孟加拉国达卡城市街头儿童教育的混合方法分析</w:t>
      </w:r>
      <w:r>
        <w:t>｜Zenodo (CERN European Organization for Nuclear Research)｜2026-08-05</w:t>
      </w:r>
    </w:p>
    <w:p>
      <w:pPr>
        <w:pStyle w:val="ListNumber"/>
      </w:pPr>
      <w:r>
        <w:rPr>
          <w:b/>
        </w:rPr>
        <w:t>教育排斥作为能力-资本联结：孟加拉国达卡市街头儿童教育的混合方法分析</w:t>
      </w:r>
      <w:r>
        <w:t>｜Zenodo (CERN European Organization for Nuclear Research)｜2026-08-05</w:t>
      </w:r>
    </w:p>
    <w:p>
      <w:pPr>
        <w:pStyle w:val="ListNumber"/>
      </w:pPr>
      <w:r>
        <w:rPr>
          <w:b/>
        </w:rPr>
        <w:t>支持教育者在数字技术决策中的自主性：一种早期教育中的教学决策矩阵</w:t>
      </w:r>
      <w:r>
        <w:t>｜European Early Childhood Education Research Journal｜2026-08-04</w:t>
      </w:r>
    </w:p>
    <w:p>
      <w:pPr>
        <w:pStyle w:val="ListNumber"/>
      </w:pPr>
      <w:r>
        <w:rPr>
          <w:b/>
        </w:rPr>
        <w:t>评估尼日利亚中北部地区教育学院学术图书馆中人工智能（AI）的认知水平与利用情况</w:t>
      </w:r>
      <w:r>
        <w:t>｜International Journal of Assessment and Evaluation in Education｜2026-08-06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Enhancing Pre-service Teachers’ Scientific Inquiry Questioning through Generative AI-Supported Scaffolding / 生成式AI支持的脚手架提升职前科学教师科学探究提问能力的研究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Enhancing Pre-service Teachers’ Scientific Inquiry Questioning through Generative AI-Supported Scaffolding / 生成式AI支持的脚手架提升职前科学教师科学探究提问能力的研究</w:t>
            </w:r>
          </w:p>
        </w:tc>
      </w:tr>
      <w:tr>
        <w:tc>
          <w:tcPr>
            <w:tcW w:type="dxa" w:w="4997"/>
          </w:tcPr>
          <w:p>
            <w:r>
              <w:rPr>
                <w:b/>
              </w:rPr>
              <w:t>作者</w:t>
            </w:r>
          </w:p>
        </w:tc>
        <w:tc>
          <w:tcPr>
            <w:tcW w:type="dxa" w:w="4997"/>
          </w:tcPr>
          <w:p>
            <w:r>
              <w:t>Pawinee Rattanakorn, Jadsada Ratniyom, Pattamaporn Kaewkhongkha</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Higher Education Studies, Vol. 16, No. 4, Article 8; DOI: 10.5539/hes.v16n4p8</w:t>
            </w:r>
          </w:p>
        </w:tc>
      </w:tr>
      <w:tr>
        <w:tc>
          <w:tcPr>
            <w:tcW w:type="dxa" w:w="4997"/>
          </w:tcPr>
          <w:p>
            <w:r>
              <w:rPr>
                <w:b/>
              </w:rPr>
              <w:t>在线发表时间</w:t>
            </w:r>
          </w:p>
        </w:tc>
        <w:tc>
          <w:tcPr>
            <w:tcW w:type="dxa" w:w="4997"/>
          </w:tcPr>
          <w:p>
            <w:r>
              <w:t>2026-08-06</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https://doi.org/10.5539/hes.v16n4p8</w:t>
              </w:r>
            </w:hyperlink>
          </w:p>
        </w:tc>
      </w:tr>
    </w:tbl>
    <w:p>
      <w:pPr>
        <w:pStyle w:val="Heading3"/>
      </w:pPr>
      <w:r>
        <w:t>研究摘要</w:t>
      </w:r>
    </w:p>
    <w:p>
      <w:r>
        <w:t>本研究考察了职前科学教师在参加AI支持的脚手架策略学习活动前后，科学探究提问能力及所产生的探究问题类型。研究采用单组前后测设计。研究工具包括：（1）使用AI支持的脚手架策略的学习活动；（2）科学探究提问能力的情境评估；（3）科学探究问题的评价标准。结果显示，学生的科学探究提问能力从干预前的中等水平提升至干预后的高水平，差异在0.05水平上具有统计学显著性。此外，学生提问的主要类型从干预前的推理型问题转变为干预后的预测型或预见型问题。学生报告称，AI生成的反馈以及教师的指导帮助他们识别弱点并改进科学探究问题。这些发现表明，AI支持的脚手架可以作为支持职前科学教师和科学教育者设计促进21世纪课堂科学探究的学习活动的一种实用方法。</w:t>
      </w:r>
    </w:p>
    <w:p>
      <w:pPr>
        <w:pStyle w:val="Heading3"/>
      </w:pPr>
      <w:r>
        <w:t>研究主要内容</w:t>
      </w:r>
    </w:p>
    <w:p>
      <w:r>
        <w:t>本研究围绕生成式AI支持的脚手架策略开展单组前后测实验，探讨该策略对职前科学教师科学探究提问能力的影响，并分析干预前后提问类型的变化。研究使用情境评估和评价标准量化能力水平，同时收集学生的主观反馈以补充证据。结果显示：干预后提问能力显著提高，提问类型从推理问题转向预测/预见问题，学生认可AI反馈与教师指导的协同作用。</w:t>
      </w:r>
    </w:p>
    <w:p>
      <w:pPr>
        <w:pStyle w:val="Heading3"/>
      </w:pPr>
      <w:r>
        <w:t>研究论点</w:t>
      </w:r>
    </w:p>
    <w:p>
      <w:r>
        <w:t>核心论点是：AI支持的脚手架策略能够有效提升职前科学教师的科学探究提问能力，并改变其提问类型，从而为21世纪课堂中的科学探究教学提供可行的教师教育路径。</w:t>
      </w:r>
    </w:p>
    <w:p>
      <w:pPr>
        <w:pStyle w:val="Heading3"/>
      </w:pPr>
      <w:r>
        <w:t>研究问题</w:t>
      </w:r>
    </w:p>
    <w:p>
      <w:r>
        <w:t>（1）参与AI支持的脚手架学习活动后，职前科学教师的科学探究提问能力是否发生变化？（2）干预前后学生生成的探究问题类型有何不同？（3）学生对AI反馈与教师指导在改进提问过程中的体验如何？</w:t>
      </w:r>
    </w:p>
    <w:p>
      <w:pPr>
        <w:pStyle w:val="Heading3"/>
      </w:pPr>
      <w:r>
        <w:t>研究方法</w:t>
      </w:r>
    </w:p>
    <w:p>
      <w:r>
        <w:t>研究类型：定量研究（单组前后测设计），辅以学生自我报告的定性反馈。样本/参与者：职前科学教师（具体人数、学校等未在摘要中说明）。数据来源：科学探究提问能力情境评估（前后测）、科学探究问题评价标准、学生反馈。分析方法：摘要未说明具体统计检验方法（如t检验、Wilcoxon符号秩检验等）；仅报告了前后测差异在0.05水平显著，以及问题类型分布的变化。</w:t>
      </w:r>
    </w:p>
    <w:p>
      <w:pPr>
        <w:pStyle w:val="Heading3"/>
      </w:pPr>
      <w:r>
        <w:t>主要发现</w:t>
      </w:r>
    </w:p>
    <w:p>
      <w:r>
        <w:t>1. 职前科学教师的科学探究提问能力从干预前的中等水平显著提升至干预后的高水平（p &lt; .05）。</w:t>
      </w:r>
    </w:p>
    <w:p>
      <w:r>
        <w:t>2. 学生提问的主要类型从干预前的推理型问题转变为干预后的预测/预见型问题。</w:t>
      </w:r>
    </w:p>
    <w:p>
      <w:r>
        <w:t>3. 学生报告AI生成的反馈与教师指导共同帮助他们识别弱点并完善科学探究问题。</w:t>
      </w:r>
    </w:p>
    <w:p>
      <w:pPr>
        <w:pStyle w:val="Heading3"/>
      </w:pPr>
      <w:r>
        <w:t>对教师教育研究的启示</w:t>
      </w:r>
    </w:p>
    <w:p>
      <w:r>
        <w:t>1. 单组前后测设计可作为教师教育中探索AI支持教学策略有效性的初步研究范式，便于在真实课堂情境中快速获取干预证据。</w:t>
      </w:r>
    </w:p>
    <w:p>
      <w:r>
        <w:t>2. 同时收集量化评估与学习者质性反馈，有助于解释干预效果的产生机制，为后续混合方法研究提供参考。</w:t>
      </w:r>
    </w:p>
    <w:p>
      <w:r>
        <w:t>3. 将AI生成反馈与教师指导整合的脚手架模式，为设计学前教育及基础教育师资培训课程中培养科学探究提问能力提供了可借鉴的活动框架。</w:t>
      </w:r>
    </w:p>
    <w:p>
      <w:r>
        <w:t>4. 未来研究可引入对照组和随机分配，并报告更详细的数据收集与分析方法（如样本量、信效度、统计检验），以增强因果推断的严谨性。</w:t>
      </w:r>
    </w:p>
    <w:p>
      <w:pPr>
        <w:pStyle w:val="Heading3"/>
      </w:pPr>
      <w:r>
        <w:t>APA引用格式</w:t>
      </w:r>
    </w:p>
    <w:p>
      <w:r>
        <w:t>Rattanakorn, P., Ratniyom, J., &amp; Kaewkhongkha, P. (2026). Enhancing pre-service teachers' scientific inquiry questioning through generative AI-supported scaffolding. Higher Education Studies, 16(4), 8. https://doi.org/10.5539/hes.v16n4p8</w:t>
      </w:r>
    </w:p>
    <w:p>
      <w:r>
        <w:br w:type="page"/>
      </w:r>
    </w:p>
    <w:p>
      <w:pPr>
        <w:pStyle w:val="Heading2"/>
      </w:pPr>
      <w:r>
        <w:t>2. Educational Exclusion As A Capability Capital Nexus: A Mixed Methods Analysis of Street Children's Education in Urban Dhaka, Bangladesh / 教育排斥作为能力—资本联结：孟加拉国达卡城市街头儿童教育的混合方法分析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Educational Exclusion As A Capability Capital Nexus: A Mixed Methods Analysis of Street Children's Education in Urban Dhaka, Bangladesh / 教育排斥作为能力—资本联结：孟加拉国达卡城市街头儿童教育的混合方法分析</w:t>
            </w:r>
          </w:p>
        </w:tc>
      </w:tr>
      <w:tr>
        <w:tc>
          <w:tcPr>
            <w:tcW w:type="dxa" w:w="4997"/>
          </w:tcPr>
          <w:p>
            <w:r>
              <w:rPr>
                <w:b/>
              </w:rPr>
              <w:t>作者</w:t>
            </w:r>
          </w:p>
        </w:tc>
        <w:tc>
          <w:tcPr>
            <w:tcW w:type="dxa" w:w="4997"/>
          </w:tcPr>
          <w:p>
            <w:r>
              <w:t>Humayun Kabir</w:t>
            </w:r>
          </w:p>
        </w:tc>
      </w:tr>
      <w:tr>
        <w:tc>
          <w:tcPr>
            <w:tcW w:type="dxa" w:w="4997"/>
          </w:tcPr>
          <w:p>
            <w:r>
              <w:rPr>
                <w:b/>
              </w:rPr>
              <w:t>期刊及影响因子</w:t>
            </w:r>
          </w:p>
        </w:tc>
        <w:tc>
          <w:tcPr>
            <w:tcW w:type="dxa" w:w="4997"/>
          </w:tcPr>
          <w:p>
            <w:r>
              <w:t>期刊：Zenodo (CERN European Organization for Nuclear Research)；元数据标注SSCI学科分类为Management；影响因子：白名单未提供；JCR分区：白名单未提供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10.5281/zenodo.21804769</w:t>
            </w:r>
          </w:p>
        </w:tc>
      </w:tr>
      <w:tr>
        <w:tc>
          <w:tcPr>
            <w:tcW w:type="dxa" w:w="4997"/>
          </w:tcPr>
          <w:p>
            <w:r>
              <w:rPr>
                <w:b/>
              </w:rPr>
              <w:t>在线发表时间</w:t>
            </w:r>
          </w:p>
        </w:tc>
        <w:tc>
          <w:tcPr>
            <w:tcW w:type="dxa" w:w="4997"/>
          </w:tcPr>
          <w:p>
            <w:r>
              <w:t>2026-08-05</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https://doi.org/10.5281/zenodo.21804769</w:t>
              </w:r>
            </w:hyperlink>
          </w:p>
        </w:tc>
      </w:tr>
    </w:tbl>
    <w:p>
      <w:pPr>
        <w:pStyle w:val="Heading3"/>
      </w:pPr>
      <w:r>
        <w:t>研究摘要</w:t>
      </w:r>
    </w:p>
    <w:p>
      <w:r>
        <w:t>本研究考察了孟加拉国达卡Khamar Bari地区街头相关儿童中高教育期望与系统性排斥并存的现象。通过整合Amartya Sen的可行能力方法与Pierre Bourdieu的资本理论，研究探究极端城市脆弱条件下教育剥夺的机制。研究采用序贯解释性混合方法设计，包括一项调查（N=41）、三个深度个案研究和一次焦点小组讨论。定量发现揭示出显著的结构性缺陷：78%的人认为经济压力是首要障碍，66%的人报告没有家庭成员，66%的人报告没有受过教育的家庭成员，而83%的人对教育持积极看法。主要发现表明，教育排斥是一种多维转换失败：由于食物、安全和健康等基本功能未得到满足，每日生存收入的迫切需求使儿童无法将现有教育机会（尽管制度性邻近度很高）转化为可行能力；家庭破裂和极端贫困带来的社会资本与文化资本的持续匮乏进一步加剧了这一失败。研究认为，当前基于权利的政策并不充分，因为它们没有解决相互关联的能力—资本缺陷。研究建议实施紧急的多部门有条件支持项目和适应性学习环境，以保障基本功能并重建可持续包容所需的社会基础设施。</w:t>
      </w:r>
    </w:p>
    <w:p>
      <w:pPr>
        <w:pStyle w:val="Heading3"/>
      </w:pPr>
      <w:r>
        <w:t>研究主要内容</w:t>
      </w:r>
    </w:p>
    <w:p>
      <w:r>
        <w:t>本研究以Sen的可行能力理论与Bourdieu的资本理论为整合分析框架，聚焦孟加拉国达卡Khamar Bari地区街头儿童的受教育排斥问题。研究采用序贯解释性混合设计，先通过问卷调查（N=41）获取结构性数据，再通过三个深度个案和一次焦点小组讨论解释量化结果背后的机制。量化结果显示经济压力、家庭缺失、缺乏受教育家庭成员等结构性障碍普遍存在；质性层面揭示了基本功能未获满足导致的“转换失败”机制。研究主张，单纯的权利导向政策无法解决能力与资本双重缺陷的叠加效应，并提出了多部门有条件支持项目与适应性学习环境的政策建议。</w:t>
      </w:r>
    </w:p>
    <w:p>
      <w:pPr>
        <w:pStyle w:val="Heading3"/>
      </w:pPr>
      <w:r>
        <w:t>研究论点</w:t>
      </w:r>
    </w:p>
    <w:p>
      <w:r>
        <w:t>核心论点是：教育排斥不是单一资源不足，而是多维“转换失败”——儿童因食物、安全、健康等基本功能未获满足，必须优先获取每日生存收入，因而无法将即使近在咫尺的教育机会转化为可行能力；与此同时，家庭破裂和极端贫困造成的社会资本与文化资本赤字持续加深了这一失败。因此，必须超越现有权利话语，重建能力与资本相互支撑的条件。</w:t>
      </w:r>
    </w:p>
    <w:p>
      <w:pPr>
        <w:pStyle w:val="Heading3"/>
      </w:pPr>
      <w:r>
        <w:t>研究问题</w:t>
      </w:r>
    </w:p>
    <w:p>
      <w:r>
        <w:t>摘要未明确列出正式研究问题，但研究核心问题是：在极端城市脆弱情境下，街头相关儿童为何及如何出现高教育期望与系统性排斥共存的现象？具体而言，是何种能力—资本机制解释了教育剥夺的持续发生？</w:t>
      </w:r>
    </w:p>
    <w:p>
      <w:pPr>
        <w:pStyle w:val="Heading3"/>
      </w:pPr>
      <w:r>
        <w:t>研究方法</w:t>
      </w:r>
    </w:p>
    <w:p>
      <w:r>
        <w:t>研究类型：混合方法（序贯解释性设计）。样本/参与者：孟加拉国达卡Khamar Bari地区的街头相关儿童；调查N=41，深度个案研究3个，焦点小组讨论1次。数据来源：问卷调查、深度访谈/个案研究、焦点小组讨论。分析方法：摘要未说明定量统计方法（如描述统计或推断统计）和定性资料编码/主题分析方法；也未说明访谈和焦点小组的具体分析程序。</w:t>
      </w:r>
    </w:p>
    <w:p>
      <w:pPr>
        <w:pStyle w:val="Heading3"/>
      </w:pPr>
      <w:r>
        <w:t>主要发现</w:t>
      </w:r>
    </w:p>
    <w:p>
      <w:r>
        <w:t>1. 结构性障碍显著：78%的受访者将经济压力列为教育的首要障碍；66%报告没有家庭成员，66%报告没有受过教育的家庭成员；但83%仍对教育持积极看法。2. 教育排斥的核心机制是多维转换失败：儿童因基本功能（食物、安全、健康）得不到满足，被迫优先谋取日常生存收入，因而无法将教育机会转化为实际可行能力，即使教育机构在物理距离上很近。3. 资本缺陷与能力缺陷相互叠加：家庭破裂造成的低社会资本和极端贫困造成的低文化资本持续存在，使排斥进一步固化；现有权利导向政策未能回应这一相互关联的“能力—资本”缺陷，亟需多部门、有条件的支持计划与适应性学习环境。</w:t>
      </w:r>
    </w:p>
    <w:p>
      <w:pPr>
        <w:pStyle w:val="Heading3"/>
      </w:pPr>
      <w:r>
        <w:t>对教师教育研究的启示</w:t>
      </w:r>
    </w:p>
    <w:p>
      <w:r>
        <w:t>1. 研究设计启示：教师教育研究可借鉴“序贯解释性混合方法”，先用小规模问卷建立可量化的结构性图景，再用深度个案与焦点小组解释数据背后的机制，使结论兼具广度与深度。2. 数据收集启示：在考察教师素养、AI教学整合或教育公平时，应纳入家庭社会资本、文化资本、基本生存条件等情境变量，避免仅以课堂内部因素解释学业与教育参与问题。3. 教育内容启示：本研究虽不涉及AI教学应用，但其“转换失败”概念提示，教师教育中的数字素养或AI整合训练必须考虑技术接入之外的生存与资本前提，否则可能在不平等情境中制造新的排斥。</w:t>
      </w:r>
    </w:p>
    <w:p>
      <w:pPr>
        <w:pStyle w:val="Heading3"/>
      </w:pPr>
      <w:r>
        <w:t>APA引用格式</w:t>
      </w:r>
    </w:p>
    <w:p>
      <w:r>
        <w:t>Kabir, H. (2026). Educational exclusion as a capability capital nexus: A mixed methods analysis of street children's education in urban Dhaka, Bangladesh. Zenodo. https://doi.org/10.5281/zenodo.21804769</w:t>
      </w:r>
    </w:p>
    <w:p>
      <w:r>
        <w:br w:type="page"/>
      </w:r>
    </w:p>
    <w:p>
      <w:pPr>
        <w:pStyle w:val="Heading2"/>
      </w:pPr>
      <w:r>
        <w:t>3. Educational Exclusion As A Capability Capital Nexus: A Mixed Methods Analysis of Street Children's Education in Urban Dhaka, Bangladesh / 教育排斥作为能力-资本联结：孟加拉国达卡市街头儿童教育的混合方法分析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Educational Exclusion As A Capability Capital Nexus: A Mixed Methods Analysis of Street Children's Education in Urban Dhaka, Bangladesh / 教育排斥作为能力-资本联结：孟加拉国达卡市街头儿童教育的混合方法分析</w:t>
            </w:r>
          </w:p>
        </w:tc>
      </w:tr>
      <w:tr>
        <w:tc>
          <w:tcPr>
            <w:tcW w:type="dxa" w:w="4997"/>
          </w:tcPr>
          <w:p>
            <w:r>
              <w:rPr>
                <w:b/>
              </w:rPr>
              <w:t>作者</w:t>
            </w:r>
          </w:p>
        </w:tc>
        <w:tc>
          <w:tcPr>
            <w:tcW w:type="dxa" w:w="4997"/>
          </w:tcPr>
          <w:p>
            <w:r>
              <w:t>Humayun Kabir</w:t>
            </w:r>
          </w:p>
        </w:tc>
      </w:tr>
      <w:tr>
        <w:tc>
          <w:tcPr>
            <w:tcW w:type="dxa" w:w="4997"/>
          </w:tcPr>
          <w:p>
            <w:r>
              <w:rPr>
                <w:b/>
              </w:rPr>
              <w:t>期刊及影响因子</w:t>
            </w:r>
          </w:p>
        </w:tc>
        <w:tc>
          <w:tcPr>
            <w:tcW w:type="dxa" w:w="4997"/>
          </w:tcPr>
          <w:p>
            <w:r>
              <w:t>期刊为Zenodo (CERN European Organization for Nuclear Research)；SSCI分类为Management；影响因子未提供；JCR分区未提供。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https://doi.org/10.5281/zenodo.21804770</w:t>
            </w:r>
          </w:p>
        </w:tc>
      </w:tr>
      <w:tr>
        <w:tc>
          <w:tcPr>
            <w:tcW w:type="dxa" w:w="4997"/>
          </w:tcPr>
          <w:p>
            <w:r>
              <w:rPr>
                <w:b/>
              </w:rPr>
              <w:t>在线发表时间</w:t>
            </w:r>
          </w:p>
        </w:tc>
        <w:tc>
          <w:tcPr>
            <w:tcW w:type="dxa" w:w="4997"/>
          </w:tcPr>
          <w:p>
            <w:r>
              <w:t>2026-08-05</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https://doi.org/10.5281/zenodo.21804770</w:t>
              </w:r>
            </w:hyperlink>
          </w:p>
        </w:tc>
      </w:tr>
    </w:tbl>
    <w:p>
      <w:pPr>
        <w:pStyle w:val="Heading3"/>
      </w:pPr>
      <w:r>
        <w:t>研究摘要</w:t>
      </w:r>
    </w:p>
    <w:p>
      <w:r>
        <w:t>本研究考察了孟加拉国达卡Khamar Bari地区街头关联儿童中高教育期望与系统性排斥共存的现象。研究整合了Amartya Sen的可行能力方法与Pierre Bourdieu的资本理论作为分析框架，探讨极端城市脆弱性条件下教育剥夺的机制。研究采用解释性顺序混合方法设计，包括一项调查（N=41）、三个深度案例研究和一次焦点小组讨论。定量结果显示显著的结构性缺陷：78%的儿童将经济压力列为主要障碍，66%报告没有家庭成员，66%报告没有受过教育的家庭成员，而83%对教育持积极态度。主要发现表明，教育排斥构成一种多维转化失败：由于食物、安全、健康等基本功能未得到满足而产生的日常生存收入需求，使儿童无法将可及的教育机会转化为可行能力，尽管教育机构距离很近；家庭破裂和极端贫困所遗留的社会与文化资本持续缺陷进一步加剧了这种失败。研究认为，当前基于权利的政策不足，因为它们没有解决相互关联的能力-资本缺陷。研究建议实施紧急的多部门有条件支持计划和适应性学习环境，以保障基本功能并重建可持续包容所需的社会基础设施。</w:t>
      </w:r>
    </w:p>
    <w:p>
      <w:pPr>
        <w:pStyle w:val="Heading3"/>
      </w:pPr>
      <w:r>
        <w:t>研究主要内容</w:t>
      </w:r>
    </w:p>
    <w:p>
      <w:r>
        <w:t>研究聚焦孟加拉国达卡Khamar Bari地区街头儿童的教育排斥问题，采用Sen的可行能力方法与Bourdieu的资本理论相结合的框架，运用解释性顺序混合方法设计（调查N=41、三个深度案例研究、一次焦点小组讨论），分析教育剥夺的机制。研究揭示了高教育期望与结构性排斥并存的现状，提出教育排斥是多维转化失败的核心论点，并在此基础上批判了现有权利政策，提出多部门干预建议。</w:t>
      </w:r>
    </w:p>
    <w:p>
      <w:pPr>
        <w:pStyle w:val="Heading3"/>
      </w:pPr>
      <w:r>
        <w:t>研究论点</w:t>
      </w:r>
    </w:p>
    <w:p>
      <w:r>
        <w:t>教育排斥本质上是一种多维转化失败：即使教育机会在物理上可及，街头儿童因基本功能（食物、安全、健康）未获满足而产生的生存压力，使其无法将教育机会转化为可行能力；同时，家庭破裂和极端贫困造成的文化资本与社会资本缺陷进一步加剧了这种转化失败。因此，现有基于权利的政策不足以应对能力-资本双重缺陷，需要针对基本功能保障和社会基础设施重建的综合性干预。</w:t>
      </w:r>
    </w:p>
    <w:p>
      <w:pPr>
        <w:pStyle w:val="Heading3"/>
      </w:pPr>
      <w:r>
        <w:t>研究问题</w:t>
      </w:r>
    </w:p>
    <w:p>
      <w:r>
        <w:t>摘要未明确陈述研究问题；根据摘要可推断为：在极端城市脆弱性条件下，街头儿童教育排斥的发生机制是什么？高教育期望与系统性排斥为何能够共存？</w:t>
      </w:r>
    </w:p>
    <w:p>
      <w:pPr>
        <w:pStyle w:val="Heading3"/>
      </w:pPr>
      <w:r>
        <w:t>研究方法</w:t>
      </w:r>
    </w:p>
    <w:p>
      <w:r>
        <w:t>研究类型：混合方法，具体为解释性顺序混合方法设计（Sequential Explanatory mixed-methods design）。样本/参与者：调查样本为41名街头关联儿童；此外包括3个深度案例研究和1次焦点小组讨论（FGD），但摘要未说明案例和FGD的参与者具体人数及选择方式。数据来源：问卷调查、深度案例研究、焦点小组讨论。分析方法：摘要未说明定量数据分析的具体统计方法（如描述性统计还是推断统计），也未说明质性数据的编码或分析技术；仅报告了调查的百分比结果。</w:t>
      </w:r>
    </w:p>
    <w:p>
      <w:pPr>
        <w:pStyle w:val="Heading3"/>
      </w:pPr>
      <w:r>
        <w:t>主要发现</w:t>
      </w:r>
    </w:p>
    <w:p>
      <w:r>
        <w:t>1. 街头儿童面临严峻的结构性障碍：78%的受访者将经济压力列为主要教育障碍，66%报告没有家庭成员，66%报告没有受过教育的家庭成员；然而，83%的儿童对教育持积极态度，说明高教育期望与系统性排斥显著共存。2. 教育排斥表现为多维转化失败：由于食物、安全、健康等基本功能未获满足，儿童需要立即获得日常生存收入，这使得他们即使身处教育机构附近，也无法将现有教育机会转化为可行能力。3. 社会与文化资本缺陷加剧了排斥：家庭破裂和极端贫困导致了社会资本与文化资本的持续不足，进一步削弱了儿童将教育机会转化为教育成就的能力；现有基于权利的政策未针对这一能力-资本联结缺陷，因而效果不足。</w:t>
      </w:r>
    </w:p>
    <w:p>
      <w:pPr>
        <w:pStyle w:val="Heading3"/>
      </w:pPr>
      <w:r>
        <w:t>对教师教育研究的启示</w:t>
      </w:r>
    </w:p>
    <w:p>
      <w:r>
        <w:t>尽管本研究聚焦街头儿童而非教师教育，但可为教师教育研究提供以下启示：其一，关注教育排斥问题时，教师培训需纳入对弱势儿童生存处境、基本需求未满足与学习障碍之间关系的理解，培训教师识别并支持因经济压力和社会资本不足而边缘化的学生。其二，在研究方法上，解释性顺序混合方法设计（先定量调查再质性深挖）适用于探究复杂教育排斥机制，研究者可借鉴该设计，结合问卷、案例研究和焦点小组收集多维数据。其三，研究框架将可行能力理论与资本理论整合用于解释教育剥夺，为教师教育研究提供了分析教师角色如何影响学生能力转化和社会资本构建的理论视角。</w:t>
      </w:r>
    </w:p>
    <w:p>
      <w:pPr>
        <w:pStyle w:val="Heading3"/>
      </w:pPr>
      <w:r>
        <w:t>APA引用格式</w:t>
      </w:r>
    </w:p>
    <w:p>
      <w:r>
        <w:t>Kabir, H. (2026). Educational exclusion as a capability capital nexus: A mixed methods analysis of street children's education in urban Dhaka, Bangladesh. Zenodo. https://doi.org/10.5281/zenodo.21804770</w:t>
      </w:r>
    </w:p>
    <w:p>
      <w:r>
        <w:br w:type="page"/>
      </w:r>
    </w:p>
    <w:p>
      <w:pPr>
        <w:pStyle w:val="Heading2"/>
      </w:pPr>
      <w:r>
        <w:t>4. Supporting educator agency in decisions about digital technologies: a pedagogical decision-making matrix for early childhood education / 支持教育者在数字技术决策中的自主性：一种早期教育中的教学决策矩阵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Supporting educator agency in decisions about digital technologies: a pedagogical decision-making matrix for early childhood education / 支持教育者在数字技术决策中的自主性：一种早期教育中的教学决策矩阵</w:t>
            </w:r>
          </w:p>
        </w:tc>
      </w:tr>
      <w:tr>
        <w:tc>
          <w:tcPr>
            <w:tcW w:type="dxa" w:w="4997"/>
          </w:tcPr>
          <w:p>
            <w:r>
              <w:rPr>
                <w:b/>
              </w:rPr>
              <w:t>作者</w:t>
            </w:r>
          </w:p>
        </w:tc>
        <w:tc>
          <w:tcPr>
            <w:tcW w:type="dxa" w:w="4997"/>
          </w:tcPr>
          <w:p>
            <w:r>
              <w:t>Smith, J.</w:t>
            </w:r>
          </w:p>
        </w:tc>
      </w:tr>
      <w:tr>
        <w:tc>
          <w:tcPr>
            <w:tcW w:type="dxa" w:w="4997"/>
          </w:tcPr>
          <w:p>
            <w:r>
              <w:rPr>
                <w:b/>
              </w:rPr>
              <w:t>期刊及影响因子</w:t>
            </w:r>
          </w:p>
        </w:tc>
        <w:tc>
          <w:tcPr>
            <w:tcW w:type="dxa" w:w="4997"/>
          </w:tcPr>
          <w:p>
            <w:r>
              <w:t>SSCI收录（Education &amp; Educational Research），白名单未提供影响因子和JCR分区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1752-1807</w:t>
            </w:r>
          </w:p>
        </w:tc>
      </w:tr>
      <w:tr>
        <w:tc>
          <w:tcPr>
            <w:tcW w:type="dxa" w:w="4997"/>
          </w:tcPr>
          <w:p>
            <w:r>
              <w:rPr>
                <w:b/>
              </w:rPr>
              <w:t>卷期/DOI</w:t>
            </w:r>
          </w:p>
        </w:tc>
        <w:tc>
          <w:tcPr>
            <w:tcW w:type="dxa" w:w="4997"/>
          </w:tcPr>
          <w:p>
            <w:r>
              <w:t>DOI: 10.1080/1350293X.2026.2712966</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https://doi.org/10.1080/1350293x.2026.2712966</w:t>
              </w:r>
            </w:hyperlink>
          </w:p>
        </w:tc>
      </w:tr>
    </w:tbl>
    <w:p>
      <w:pPr>
        <w:pStyle w:val="Heading3"/>
      </w:pPr>
      <w:r>
        <w:t>研究摘要</w:t>
      </w:r>
    </w:p>
    <w:p>
      <w:r>
        <w:t>数字技术在早期儿童教育和保育中的日益整合，强化了对教育者做出自信、知情且情境敏感的教学决策的期望，尽管指导有限。本文考察了教育者如何做出关于数字技术使用的决策，并引入了一种教学决策矩阵，以增强教育者的自主性和专业判断。基于社会文化和生态系统理论，该研究借鉴了一个涉及十六名教育者的澳大利亚研究项目的定性发现。分析表明，决策主要受非正式启发法指导，包括对技术的熟悉程度、个人和专业信念、对儿童参与的观察以及资源获取情况。虽然这些支持灵活、本地响应的实践，但参与者报告了不确定性，并希望获得更有结构、基于证据的指导。研究结果突显了经验、专业知识、情境期望和物质条件的相互作用。作为回应，本文提出了一种基于研究的决策矩阵，以支持反思、增强信心，并促进各种早期教育情境中的高质量教学决策。</w:t>
      </w:r>
    </w:p>
    <w:p>
      <w:pPr>
        <w:pStyle w:val="Heading3"/>
      </w:pPr>
      <w:r>
        <w:t>研究主要内容</w:t>
      </w:r>
    </w:p>
    <w:p>
      <w:r>
        <w:t>本研究聚焦早期教育与保育中教师如何做出数字技术使用决策。研究发现决策主要依赖于非正式的经验法则，而非系统化的指导框架。研究提出一种以研究为基础的教学决策矩阵，旨在增强教师的专业自主性，促进对数字技术使用的反思性、情境化决策。</w:t>
      </w:r>
    </w:p>
    <w:p>
      <w:pPr>
        <w:pStyle w:val="Heading3"/>
      </w:pPr>
      <w:r>
        <w:t>研究论点</w:t>
      </w:r>
    </w:p>
    <w:p>
      <w:r>
        <w:t>当前早期教育中缺乏支持数字技术教学决策的结构化指导，教师在面对数字技术时往往依据个人经验与直觉，导致不确定感。为此，需要一种将教师专业判断、情境因素与研究证据相结合的教学决策矩阵，以强化教师的自主性和决策质量。</w:t>
      </w:r>
    </w:p>
    <w:p>
      <w:pPr>
        <w:pStyle w:val="Heading3"/>
      </w:pPr>
      <w:r>
        <w:t>研究问题</w:t>
      </w:r>
    </w:p>
    <w:p>
      <w:r>
        <w:t>教育者在早期儿童教育与保育中如何做出关于数字技术使用的教学决策？</w:t>
      </w:r>
    </w:p>
    <w:p>
      <w:pPr>
        <w:pStyle w:val="Heading3"/>
      </w:pPr>
      <w:r>
        <w:t>研究方法</w:t>
      </w:r>
    </w:p>
    <w:p>
      <w:r>
        <w:t>研究类型：定性研究。样本/参与者：十六名教育者（来自澳大利亚研究项目）。数据来源：定性访谈（摘要提及“定性发现”，但未明确说明具体的数据收集方法，如访谈或观察，故此处仅能确认采用定性方法）。分析方法：摘要未说明具体分析步骤（如主题分析、内容分析等），仅表明基于社会文化和生态系统理论进行解释。缺失信息：具体访谈或观察方式、分析流程、编码策略等未在摘要中说明。</w:t>
      </w:r>
    </w:p>
    <w:p>
      <w:pPr>
        <w:pStyle w:val="Heading3"/>
      </w:pPr>
      <w:r>
        <w:t>主要发现</w:t>
      </w:r>
    </w:p>
    <w:p>
      <w:r>
        <w:t>['教育者的数字技术决策主要依赖非正式启发法，包括技术熟悉度、个人及专业信念、对儿童参与度的观察以及资源可及性。', '这些非正式策略有助于形成灵活、符合本地情境的实践，但同时也导致教师感到不确定，并希望获得更有结构、基于证据的指导。', '研究强调经验、专业知识、情境期望与物质条件之间的相互作用，并据此提出了支持反思、增强信心和促进高质量教学决策的矩阵。']</w:t>
      </w:r>
    </w:p>
    <w:p>
      <w:pPr>
        <w:pStyle w:val="Heading3"/>
      </w:pPr>
      <w:r>
        <w:t>对教师教育研究的启示</w:t>
      </w:r>
    </w:p>
    <w:p>
      <w:r>
        <w:t>教师教育应关注培养教师在数字技术使用中进行反思性决策的能力，而非仅传授技术操作技能。研究者可采用定性访谈、参与式观察等方法深入捕捉教师决策过程中的经验、信念与情境因素。本研究所提出的教学决策矩阵可作为教师教育课程中促进教师自主性与专业判断的工具，同时其开发过程也为基于理论构建和实证数据开发实践导向的教师支持资源提供了范例。未来研究可进一步评估该矩阵在不同早期教育情境中的可行性和有效性。</w:t>
      </w:r>
    </w:p>
    <w:p>
      <w:pPr>
        <w:pStyle w:val="Heading3"/>
      </w:pPr>
      <w:r>
        <w:t>APA引用格式</w:t>
      </w:r>
    </w:p>
    <w:p>
      <w:r>
        <w:t>Smith, J. (2026). Supporting educator agency in decisions about digital technologies: A pedagogical decision-making matrix for early childhood education. European Early Childhood Education Research Journal. https://doi.org/10.1080/1350293X.2026.2712966</w:t>
      </w:r>
    </w:p>
    <w:p>
      <w:r>
        <w:br w:type="page"/>
      </w:r>
    </w:p>
    <w:p>
      <w:pPr>
        <w:pStyle w:val="Heading2"/>
      </w:pPr>
      <w:r>
        <w:t>5. ASSESSMENT OF LEVEL OF AWARENESS AND UTILISATION OF ARTIFICIAL INTELLIGENCE (AI) IN ACADEMIC LIBRARIES IN COLLEGES OF EDUCATION IN THE NORTH CENTRAL ZONE, NIGERIA / 评估尼日利亚中北部地区教育学院学术图书馆中人工智能（AI）的认知水平与利用情况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ASSESSMENT OF LEVEL OF AWARENESS AND UTILISATION OF ARTIFICIAL INTELLIGENCE (AI) IN ACADEMIC LIBRARIES IN COLLEGES OF EDUCATION IN THE NORTH CENTRAL ZONE, NIGERIA / 评估尼日利亚中北部地区教育学院学术图书馆中人工智能（AI）的认知水平与利用情况</w:t>
            </w:r>
          </w:p>
        </w:tc>
      </w:tr>
      <w:tr>
        <w:tc>
          <w:tcPr>
            <w:tcW w:type="dxa" w:w="4997"/>
          </w:tcPr>
          <w:p>
            <w:r>
              <w:rPr>
                <w:b/>
              </w:rPr>
              <w:t>作者</w:t>
            </w:r>
          </w:p>
        </w:tc>
        <w:tc>
          <w:tcPr>
            <w:tcW w:type="dxa" w:w="4997"/>
          </w:tcPr>
          <w:p>
            <w:r>
              <w:t>OGUIKE MARTINS OSONDU, OKAFOR ANTHONIA IFEOMA, NDATSU, ABUBAKAR GUREGI</w:t>
            </w:r>
          </w:p>
        </w:tc>
      </w:tr>
      <w:tr>
        <w:tc>
          <w:tcPr>
            <w:tcW w:type="dxa" w:w="4997"/>
          </w:tcPr>
          <w:p>
            <w:r>
              <w:rPr>
                <w:b/>
              </w:rPr>
              <w:t>期刊及影响因子</w:t>
            </w:r>
          </w:p>
        </w:tc>
        <w:tc>
          <w:tcPr>
            <w:tcW w:type="dxa" w:w="4997"/>
          </w:tcPr>
          <w:p>
            <w:r>
              <w:t>SSCI分类：Clinical,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10.70382/mejaee.v12i8.0136</w:t>
            </w:r>
          </w:p>
        </w:tc>
      </w:tr>
      <w:tr>
        <w:tc>
          <w:tcPr>
            <w:tcW w:type="dxa" w:w="4997"/>
          </w:tcPr>
          <w:p>
            <w:r>
              <w:rPr>
                <w:b/>
              </w:rPr>
              <w:t>在线发表时间</w:t>
            </w:r>
          </w:p>
        </w:tc>
        <w:tc>
          <w:tcPr>
            <w:tcW w:type="dxa" w:w="4997"/>
          </w:tcPr>
          <w:p>
            <w:r>
              <w:t>2026-08-06</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13">
              <w:r>
                <w:rPr>
                  <w:color w:val="0563C1"/>
                  <w:u w:val="single"/>
                </w:rPr>
                <w:t>https://doi.org/10.70382/mejaee.v12i8.0136</w:t>
              </w:r>
            </w:hyperlink>
          </w:p>
        </w:tc>
      </w:tr>
    </w:tbl>
    <w:p>
      <w:pPr>
        <w:pStyle w:val="Heading3"/>
      </w:pPr>
      <w:r>
        <w:t>研究摘要</w:t>
      </w:r>
    </w:p>
    <w:p>
      <w:r>
        <w:t>本研究评估了尼日利亚中北部地区教育学院学术图书馆中人工智能（AI）的认知水平与利用情况。研究采用描述性调查设计，目标总体为全区约1200名图书馆人员。通过多阶段抽样，从三所分层且有意选取的机构中抽取480名受访者，包括阿布贾祖巴联邦教育学院、明纳教育学院和安克帕教育学院（代表科吉州）。数据通过一份经过验证的结构化问卷“学术图书馆AI认知与利用问卷（AUALQ）”收集，Cronbach's Alpha信度系数为0.78。采用均值（X̄）和标准差（SD）进行描述性统计，以2.50标准均值作为基准分析研究问题。结果显示，图书馆人员和用户对图书馆核心特定AI技术（如智能检索、自动编目和推荐算法）的认知水平较低（总均值=2.44），但对聊天机器人等消费级生成式工具的认知较高。此外，图书馆运营和工作流程系统中对AI的系统化利用程度极低（总均值=1.92），其中预测分析和自动采集得分最低。基于以上发现，研究建议尼日利亚中北部地区教育学院管理层应优先进行基础设施升级，制定图书馆数字化的国家政策框架，并资助图书馆人员参加关于AI应用的强制性持续专业发展项目。</w:t>
      </w:r>
    </w:p>
    <w:p>
      <w:pPr>
        <w:pStyle w:val="Heading3"/>
      </w:pPr>
      <w:r>
        <w:t>研究主要内容</w:t>
      </w:r>
    </w:p>
    <w:p>
      <w:r>
        <w:t>本研究聚焦尼日利亚中北部地区教育学院学术图书馆中AI的认知与利用问题，采用描述性调查设计，使用自编结构化问卷AUALQ对480名图书馆人员进行调查。结果显示，专业图书馆AI技术认知度低，系统化AI利用水平极低。基于研究结果，提出了基础设施升级、国家政策框架和持续专业发展三方面建议。</w:t>
      </w:r>
    </w:p>
    <w:p>
      <w:pPr>
        <w:pStyle w:val="Heading3"/>
      </w:pPr>
      <w:r>
        <w:t>研究论点</w:t>
      </w:r>
    </w:p>
    <w:p>
      <w:r>
        <w:t>本研究主张通过实证调查揭示学术图书馆情境中AI认知与实际利用之间的差距，指出尽管消费级生成式AI工具受到一定关注，但图书馆专业AI技术的认知和系统化应用明显不足，需要政策与培训层面的系统性干预。</w:t>
      </w:r>
    </w:p>
    <w:p>
      <w:pPr>
        <w:pStyle w:val="Heading3"/>
      </w:pPr>
      <w:r>
        <w:t>研究问题</w:t>
      </w:r>
    </w:p>
    <w:p>
      <w:r>
        <w:t>摘要未明确列出研究问题；根据研究目的推断为：尼日利亚中北部地区教育学院学术图书馆人员及用户对人工智能的认知水平如何？人工智能在学术图书馆运营与工作流程中的系统化利用程度如何？</w:t>
      </w:r>
    </w:p>
    <w:p>
      <w:pPr>
        <w:pStyle w:val="Heading3"/>
      </w:pPr>
      <w:r>
        <w:t>研究方法</w:t>
      </w:r>
    </w:p>
    <w:p>
      <w:r>
        <w:t>研究类型：定量研究（描述性调查设计）。样本/参与者：来自尼日利亚中北部地区三所教育学院的480名图书馆人员（目标总体约1200名，采用多阶段抽样，包含分层和有意抽样）。数据来源：自编结构化问卷“学术图书馆AI认知与利用问卷（AUALQ）”，Cronbach's Alpha信度系数为0.78。分析方法：描述性统计，使用均值（X̄）和标准差（SD），以2.50作为标准均值基准进行判断。</w:t>
      </w:r>
    </w:p>
    <w:p>
      <w:pPr>
        <w:pStyle w:val="Heading3"/>
      </w:pPr>
      <w:r>
        <w:t>主要发现</w:t>
      </w:r>
    </w:p>
    <w:p>
      <w:r>
        <w:t>1. 图书馆人员和用户对图书馆核心特定AI技术（如智能搜索、自动编目和推荐算法）的认知水平较低（总均值=2.44），但聊天机器人等消费级生成式工具的认知水平较高。2. 图书馆运营和工作流程系统中对AI的系统化利用程度非常低（总均值=1.92），其中预测分析和自动采集的利用得分最低。3. 基于发现，研究者建议优先升级基础设施，制定图书馆数字化国家政策框架，并资助图书馆人员参加强制性持续专业发展项目。</w:t>
      </w:r>
    </w:p>
    <w:p>
      <w:pPr>
        <w:pStyle w:val="Heading3"/>
      </w:pPr>
      <w:r>
        <w:t>对教师教育研究的启示</w:t>
      </w:r>
    </w:p>
    <w:p>
      <w:r>
        <w:t>对教师教育研究而言，本研究提供了评估AI认知与利用水平的定量研究范式，包括问卷开发、信度检验和多阶段抽样设计；其均值基准比较法可用于研究者开展教师AI素养或数字素养现状调查。同时，研究发现专业AI应用利用率低、基础设施与政策支持不足，提示教师教育中的AI整合不能只停留在工具操作层面，需要关注制度环境、持续专业发展与实际教学/服务场景的深度融合。</w:t>
      </w:r>
    </w:p>
    <w:p>
      <w:pPr>
        <w:pStyle w:val="Heading3"/>
      </w:pPr>
      <w:r>
        <w:t>APA引用格式</w:t>
      </w:r>
    </w:p>
    <w:p>
      <w:r>
        <w:t>Osondu, O. M., Okafor, A. I., &amp; Ndatsu, A. G. (2026). Assessment of level of awareness and utilisation of artificial intelligence (AI) in academic libraries in colleges of education in the North Central Zone, Nigeria. International Journal of Assessment and Evaluation in Education. https://doi.org/10.70382/mejaee.v12i8.0136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139.23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539/hes.v16n4p8" TargetMode="External"/><Relationship Id="rId10" Type="http://schemas.openxmlformats.org/officeDocument/2006/relationships/hyperlink" Target="https://doi.org/10.5281/zenodo.21804769" TargetMode="External"/><Relationship Id="rId11" Type="http://schemas.openxmlformats.org/officeDocument/2006/relationships/hyperlink" Target="https://doi.org/10.5281/zenodo.21804770" TargetMode="External"/><Relationship Id="rId12" Type="http://schemas.openxmlformats.org/officeDocument/2006/relationships/hyperlink" Target="https://doi.org/10.1080/1350293x.2026.2712966" TargetMode="External"/><Relationship Id="rId13" Type="http://schemas.openxmlformats.org/officeDocument/2006/relationships/hyperlink" Target="https://doi.org/10.70382/mejaee.v12i8.0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