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1F5496"/>
          <w:sz w:val="44"/>
        </w:rPr>
        <w:t>每日SSCI文献简报｜2026-09-23</w:t>
      </w:r>
    </w:p>
    <w:p>
      <w:pPr>
        <w:jc w:val="center"/>
      </w:pPr>
      <w:r>
        <w:rPr>
          <w:color w:val="596882"/>
          <w:sz w:val="22"/>
        </w:rPr>
        <w:t>学前与基础教育 · AI教学应用 · 教师数字/智能/数据素养 · 教师教育</w:t>
      </w:r>
    </w:p>
    <w:p>
      <w:pPr>
        <w:ind w:left="230" w:right="230"/>
      </w:pPr>
      <w:r>
        <w:rPr>
          <w:i/>
          <w:color w:val="596882"/>
        </w:rPr>
        <w:t>本期采用混合推荐策略：2篇近三年内最新候选文献 + 3篇近三年内AI教学相关度最高文献；已排除历史重复推荐。</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生成时间</w:t>
            </w:r>
          </w:p>
        </w:tc>
        <w:tc>
          <w:tcPr>
            <w:tcW w:type="dxa" w:w="4997"/>
          </w:tcPr>
          <w:p>
            <w:r>
              <w:t>2026-09-23 10:11:41（北京时间）</w:t>
            </w:r>
          </w:p>
        </w:tc>
      </w:tr>
      <w:tr>
        <w:tc>
          <w:tcPr>
            <w:tcW w:type="dxa" w:w="4997"/>
          </w:tcPr>
          <w:p>
            <w:r>
              <w:rPr>
                <w:b/>
              </w:rPr>
              <w:t>检索窗口</w:t>
            </w:r>
          </w:p>
        </w:tc>
        <w:tc>
          <w:tcPr>
            <w:tcW w:type="dxa" w:w="4997"/>
          </w:tcPr>
          <w:p>
            <w:r>
              <w:t>2023-09-24 — 2026-09-23</w:t>
            </w:r>
          </w:p>
        </w:tc>
      </w:tr>
      <w:tr>
        <w:tc>
          <w:tcPr>
            <w:tcW w:type="dxa" w:w="4997"/>
          </w:tcPr>
          <w:p>
            <w:r>
              <w:rPr>
                <w:b/>
              </w:rPr>
              <w:t>检索与筛选</w:t>
            </w:r>
          </w:p>
        </w:tc>
        <w:tc>
          <w:tcPr>
            <w:tcW w:type="dxa" w:w="4997"/>
          </w:tcPr>
          <w:p>
            <w:r>
              <w:t>检索 750 篇；筛选 5 篇；AI成功 5 篇</w:t>
            </w:r>
          </w:p>
        </w:tc>
      </w:tr>
      <w:tr>
        <w:tc>
          <w:tcPr>
            <w:tcW w:type="dxa" w:w="4997"/>
          </w:tcPr>
          <w:p>
            <w:r>
              <w:rPr>
                <w:b/>
              </w:rPr>
              <w:t>本地文件</w:t>
            </w:r>
          </w:p>
        </w:tc>
        <w:tc>
          <w:tcPr>
            <w:tcW w:type="dxa" w:w="4997"/>
          </w:tcPr>
          <w:p>
            <w:r>
              <w:t>Markdown 与 Word 文档已保存至 docs/ 目录</w:t>
            </w:r>
          </w:p>
        </w:tc>
      </w:tr>
    </w:tbl>
    <w:p/>
    <w:p>
      <w:pPr>
        <w:pStyle w:val="Heading1"/>
      </w:pPr>
      <w:r>
        <w:t>一、今日研究亮点总结</w:t>
      </w:r>
    </w:p>
    <w:p>
      <w:pPr>
        <w:ind w:left="230" w:right="230"/>
      </w:pPr>
      <w:r>
        <w:rPr>
          <w:i/>
          <w:color w:val="596882"/>
        </w:rPr>
        <w:t>今日文献共同关注AI/数据驱动决策的公平、可解释与实施调适，涵盖自动写作评分、大模型偏见缓解、数字权利、教师调适及价值评估。趋势指向教育评价数字化与AI伦理公平，对中国教改有启示。</w:t>
      </w:r>
    </w:p>
    <w:p>
      <w:pPr>
        <w:pStyle w:val="Heading1"/>
      </w:pPr>
      <w:r>
        <w:t>目录</w:t>
      </w:r>
    </w:p>
    <w:p>
      <w:pPr>
        <w:pStyle w:val="ListNumber"/>
      </w:pPr>
      <w:r>
        <w:rPr>
          <w:b/>
        </w:rPr>
        <w:t>数字财产安全漏洞与虚拟所有权执行：网络法视角</w:t>
      </w:r>
      <w:r>
        <w:t>｜Frontiers in Artificial Intelligence｜2026-09-22</w:t>
      </w:r>
    </w:p>
    <w:p>
      <w:pPr>
        <w:pStyle w:val="ListNumber"/>
      </w:pPr>
      <w:r>
        <w:rPr>
          <w:b/>
        </w:rPr>
        <w:t>面向大语言模型的反馈驱动规则归纳与检索增强偏见缓解</w:t>
      </w:r>
      <w:r>
        <w:t>｜Frontiers in Artificial Intelligence｜2026-09-22</w:t>
      </w:r>
    </w:p>
    <w:p>
      <w:pPr>
        <w:pStyle w:val="ListNumber"/>
      </w:pPr>
      <w:r>
        <w:rPr>
          <w:b/>
        </w:rPr>
        <w:t>释放预训练语言模型在多维写作评估中的潜力：迈向更稳健且可解释的评分</w:t>
      </w:r>
      <w:r>
        <w:t>｜Natural Language Processing｜2026-09-22</w:t>
      </w:r>
    </w:p>
    <w:p>
      <w:pPr>
        <w:pStyle w:val="ListNumber"/>
      </w:pPr>
      <w:r>
        <w:rPr>
          <w:b/>
        </w:rPr>
        <w:t>“你不能总是照本宣科来让某事奏效”：ROBUST干预的实施、教师调适的类型及原因</w:t>
      </w:r>
      <w:r>
        <w:t>｜Scandinavian Journal of Educational Research｜2026-09-20</w:t>
      </w:r>
    </w:p>
    <w:p>
      <w:pPr>
        <w:pStyle w:val="ListNumber"/>
      </w:pPr>
      <w:r>
        <w:rPr>
          <w:b/>
        </w:rPr>
        <w:t>客户对农产品开发中价值交付的影响：巴西农民的视角</w:t>
      </w:r>
      <w:r>
        <w:t>｜Journal of Agribusiness in Developing and Emerging Economies｜2026-09-23</w:t>
      </w:r>
    </w:p>
    <w:p>
      <w:pPr>
        <w:sectPr>
          <w:pgSz w:w="12240" w:h="15840"/>
          <w:pgMar w:top="1037" w:right="1123" w:bottom="1037" w:left="1123" w:header="720" w:footer="720" w:gutter="0"/>
          <w:cols w:space="720"/>
          <w:docGrid w:linePitch="360"/>
        </w:sectPr>
      </w:pPr>
    </w:p>
    <w:p>
      <w:pPr>
        <w:pStyle w:val="Heading1"/>
      </w:pPr>
      <w:r>
        <w:t>二、文献摘要</w:t>
      </w:r>
    </w:p>
    <w:p>
      <w:pPr>
        <w:pStyle w:val="Heading2"/>
      </w:pPr>
      <w:r>
        <w:t>1. Digital property security breaches and virtual ownership enforcement: a cyber law perspective / 数字财产安全漏洞与虚拟所有权执行：网络法视角</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Digital property security breaches and virtual ownership enforcement: a cyber law perspective / 数字财产安全漏洞与虚拟所有权执行：网络法视角</w:t>
            </w:r>
          </w:p>
        </w:tc>
      </w:tr>
      <w:tr>
        <w:tc>
          <w:tcPr>
            <w:tcW w:type="dxa" w:w="4997"/>
          </w:tcPr>
          <w:p>
            <w:r>
              <w:rPr>
                <w:b/>
              </w:rPr>
              <w:t>作者</w:t>
            </w:r>
          </w:p>
        </w:tc>
        <w:tc>
          <w:tcPr>
            <w:tcW w:type="dxa" w:w="4997"/>
          </w:tcPr>
          <w:p>
            <w:r>
              <w:t>Kieu Thi Thuy Linh</w:t>
            </w:r>
          </w:p>
        </w:tc>
      </w:tr>
      <w:tr>
        <w:tc>
          <w:tcPr>
            <w:tcW w:type="dxa" w:w="4997"/>
          </w:tcPr>
          <w:p>
            <w:r>
              <w:rPr>
                <w:b/>
              </w:rPr>
              <w:t>期刊及影响因子</w:t>
            </w:r>
          </w:p>
        </w:tc>
        <w:tc>
          <w:tcPr>
            <w:tcW w:type="dxa" w:w="4997"/>
          </w:tcPr>
          <w:p>
            <w:r>
              <w:t>白名单未提供影响因子；白名单未提供JCR分区；SSCI分类：Multidisciplinary, Psychology</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ELSEVIER SCIENCE INC</w:t>
            </w:r>
          </w:p>
        </w:tc>
      </w:tr>
      <w:tr>
        <w:tc>
          <w:tcPr>
            <w:tcW w:type="dxa" w:w="4997"/>
          </w:tcPr>
          <w:p>
            <w:r>
              <w:rPr>
                <w:b/>
              </w:rPr>
              <w:t>卷期/DOI</w:t>
            </w:r>
          </w:p>
        </w:tc>
        <w:tc>
          <w:tcPr>
            <w:tcW w:type="dxa" w:w="4997"/>
          </w:tcPr>
          <w:p>
            <w:r>
              <w:t>卷期：摘要与元数据未提供；DOI：10.3389/frai.2026.1910871</w:t>
            </w:r>
          </w:p>
        </w:tc>
      </w:tr>
      <w:tr>
        <w:tc>
          <w:tcPr>
            <w:tcW w:type="dxa" w:w="4997"/>
          </w:tcPr>
          <w:p>
            <w:r>
              <w:rPr>
                <w:b/>
              </w:rPr>
              <w:t>在线发表时间</w:t>
            </w:r>
          </w:p>
        </w:tc>
        <w:tc>
          <w:tcPr>
            <w:tcW w:type="dxa" w:w="4997"/>
          </w:tcPr>
          <w:p>
            <w:r>
              <w:t>2026-09-22</w:t>
            </w:r>
          </w:p>
        </w:tc>
      </w:tr>
      <w:tr>
        <w:tc>
          <w:tcPr>
            <w:tcW w:type="dxa" w:w="4997"/>
          </w:tcPr>
          <w:p>
            <w:r>
              <w:rPr>
                <w:b/>
              </w:rPr>
              <w:t>SSCI分类</w:t>
            </w:r>
          </w:p>
        </w:tc>
        <w:tc>
          <w:tcPr>
            <w:tcW w:type="dxa" w:w="4997"/>
          </w:tcPr>
          <w:p>
            <w:r>
              <w:t>Multidisciplinary；Psychology</w:t>
            </w:r>
          </w:p>
        </w:tc>
      </w:tr>
      <w:tr>
        <w:tc>
          <w:tcPr>
            <w:tcW w:type="dxa" w:w="4997"/>
          </w:tcPr>
          <w:p>
            <w:r>
              <w:rPr>
                <w:b/>
              </w:rPr>
              <w:t>论文链接</w:t>
            </w:r>
          </w:p>
        </w:tc>
        <w:tc>
          <w:tcPr>
            <w:tcW w:type="dxa" w:w="4997"/>
          </w:tcPr>
          <w:p>
            <w:hyperlink r:id="rId9">
              <w:r>
                <w:rPr>
                  <w:color w:val="0563C1"/>
                  <w:u w:val="single"/>
                </w:rPr>
                <w:t>https://doi.org/10.3389/frai.2026.1910871</w:t>
              </w:r>
            </w:hyperlink>
          </w:p>
        </w:tc>
      </w:tr>
    </w:tbl>
    <w:p>
      <w:pPr>
        <w:pStyle w:val="Heading3"/>
      </w:pPr>
      <w:r>
        <w:t>研究摘要</w:t>
      </w:r>
    </w:p>
    <w:p>
      <w:r>
        <w:t>该研究从网络法视角考察数字财产安全漏洞与数字合同合规对虚拟所有权执行、基本权利及责任/赔偿结果的影响，并特别关注脆弱用户群体。研究使用2018—2024年法院案件记录、平台透明度报告和监管文件构建240条有效观察的专家评估数据集，采用结构方程模型、独立样本t检验和方差分析检验六个构念间关系。结果显示，安全漏洞频率与严重性显著降低执行有效性并损害基本权利；合同不合规提高责任暴露；妇女、儿童和边缘化群体的权利侵害与执行延迟更明显。讨论强调加强数字财产治理和权利本位责任框架。摘要未涉及学前教育、基础教育、AI教学或教师数字素养。</w:t>
      </w:r>
    </w:p>
    <w:p>
      <w:pPr>
        <w:pStyle w:val="Heading3"/>
      </w:pPr>
      <w:r>
        <w:t>研究主要内容</w:t>
      </w:r>
    </w:p>
    <w:p>
      <w:r>
        <w:t>论文围绕数字时代的虚拟资产、NFT、云端知识产权等新型财产，考察数字财产安全漏洞（DPBC）与数字合同合规（DCC）如何影响虚拟所有权执行（VOE）、基本权利影响（FRI）及责任与赔偿结果（LCO），并检验对脆弱用户群体（VUG）的差异影响。数据来自2018—2024年法院案件记录、平台透明度报告和监管文件，形成240条有效观察的专家评估数据集，使用SEM、独立样本t检验和ANOVA分析六个构念间关系。讨论主张需要更强的数字财产治理和基于权利的责任框架。该文不属于学前教育/基础教育或教师教育主题，摘要未涉及AI教学、教师数字素养等。</w:t>
      </w:r>
    </w:p>
    <w:p>
      <w:pPr>
        <w:pStyle w:val="Heading3"/>
      </w:pPr>
      <w:r>
        <w:t>研究论点</w:t>
      </w:r>
    </w:p>
    <w:p>
      <w:r>
        <w:t>核心论点为：数字财产安全漏洞的频率与严重性会削弱虚拟所有权执行效果并损害基本权利；合同不合规会提高责任暴露；妇女、儿童、边缘化群体等脆弱用户受到更严重的权利侵害与执行延迟。因此，需要更健全的数字财产治理和以权利为基础的责任/赔偿框架。</w:t>
      </w:r>
    </w:p>
    <w:p>
      <w:pPr>
        <w:pStyle w:val="Heading3"/>
      </w:pPr>
      <w:r>
        <w:t>研究问题</w:t>
      </w:r>
    </w:p>
    <w:p>
      <w:r>
        <w:t>摘要未以明确问句列出研究问题。研究目标可概括为：数字财产安全漏洞与数字合同合规如何影响虚拟所有权执行、基本权利以及责任/赔偿结果？这些影响是否在脆弱用户群体中表现得更严重？</w:t>
      </w:r>
    </w:p>
    <w:p>
      <w:pPr>
        <w:pStyle w:val="Heading3"/>
      </w:pPr>
      <w:r>
        <w:t>研究方法</w:t>
      </w:r>
    </w:p>
    <w:p>
      <w:r>
        <w:t>定量研究（摘要未说明是否为混合方法）。样本/数据：由法院案件记录、平台透明度报告和监管文件（2018—2024）编制而成的结构化专家评估数据集，含240条有效观察；摘要未说明专家人数、抽样方式、编码信度、伦理审查或教育阶段样本。分析方法：结构方程模型（SEM）、独立样本t检验、方差分析（ANOVA），用于评估六个构念间关系：DPBC、DCC、VOE、FRI、LCO、VUG。研究场景为网络法/数字财产治理，不是学前教育或基础教育课堂。</w:t>
      </w:r>
    </w:p>
    <w:p>
      <w:pPr>
        <w:pStyle w:val="Heading3"/>
      </w:pPr>
      <w:r>
        <w:t>主要发现</w:t>
      </w:r>
    </w:p>
    <w:p>
      <w:r>
        <w:t>1. 数字财产安全漏洞的频率和严重性越高，虚拟所有权执行有效性显著降低（p &lt; 0.001），并对基本权利产生负面影响。2. 不遵守合同条款与更高的责任暴露相关（p &lt; 0.001）。3. 权利侵害和执行延迟在脆弱群体中更突出，包括妇女、儿童和边缘化社区。</w:t>
      </w:r>
    </w:p>
    <w:p>
      <w:pPr>
        <w:pStyle w:val="Heading3"/>
      </w:pPr>
      <w:r>
        <w:t>对教师教育研究的启示</w:t>
      </w:r>
    </w:p>
    <w:p>
      <w:r>
        <w:t>摘要未说明对教师教育研究的直接启示。该文不属于学前教育/基础教育阶段研究，也未涉及AI教学应用、教师数字素养/智能素养/数据素养、教师教育与培训中的AI整合、教育数字化背景下的教学变革或教师角色。若教师教育研究者参考，只能间接借鉴其研究设计特征：多源政策/案件/平台数据构建结构化评估数据集，使用SEM、t检验和ANOVA检验多构念关系；但不能据此推出教师教育实践或政策结论。</w:t>
      </w:r>
    </w:p>
    <w:p>
      <w:pPr>
        <w:pStyle w:val="Heading3"/>
      </w:pPr>
      <w:r>
        <w:t>APA引用格式</w:t>
      </w:r>
    </w:p>
    <w:p>
      <w:r>
        <w:t>Kieu, T. T. L. (2026). Digital property security breaches and virtual ownership enforcement: A cyber law perspective. Frontiers in Artificial Intelligence. https://doi.org/10.3389/frai.2026.1910871</w:t>
      </w:r>
    </w:p>
    <w:p>
      <w:r>
        <w:br w:type="page"/>
      </w:r>
    </w:p>
    <w:p>
      <w:pPr>
        <w:pStyle w:val="Heading2"/>
      </w:pPr>
      <w:r>
        <w:t>2. Feedback-driven rule induction and retrieval-augmented bias mitigation for large language models / 面向大语言模型的反馈驱动规则归纳与检索增强偏见缓解</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Feedback-driven rule induction and retrieval-augmented bias mitigation for large language models / 面向大语言模型的反馈驱动规则归纳与检索增强偏见缓解</w:t>
            </w:r>
          </w:p>
        </w:tc>
      </w:tr>
      <w:tr>
        <w:tc>
          <w:tcPr>
            <w:tcW w:type="dxa" w:w="4997"/>
          </w:tcPr>
          <w:p>
            <w:r>
              <w:rPr>
                <w:b/>
              </w:rPr>
              <w:t>作者</w:t>
            </w:r>
          </w:p>
        </w:tc>
        <w:tc>
          <w:tcPr>
            <w:tcW w:type="dxa" w:w="4997"/>
          </w:tcPr>
          <w:p>
            <w:r>
              <w:t>Abhishek Kumar, Aishwaryaa Shree Muralitharan, Vinesh Kannaa Balaji, Bhargavi Renta Chintala</w:t>
            </w:r>
          </w:p>
        </w:tc>
      </w:tr>
      <w:tr>
        <w:tc>
          <w:tcPr>
            <w:tcW w:type="dxa" w:w="4997"/>
          </w:tcPr>
          <w:p>
            <w:r>
              <w:rPr>
                <w:b/>
              </w:rPr>
              <w:t>期刊及影响因子</w:t>
            </w:r>
          </w:p>
        </w:tc>
        <w:tc>
          <w:tcPr>
            <w:tcW w:type="dxa" w:w="4997"/>
          </w:tcPr>
          <w:p>
            <w:r>
              <w:t>白名单未提供影响因子 / 白名单未提供JCR分区；SSCI分类：Multidisciplinary, Psychology</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ELSEVIER SCIENCE INC</w:t>
            </w:r>
          </w:p>
        </w:tc>
      </w:tr>
      <w:tr>
        <w:tc>
          <w:tcPr>
            <w:tcW w:type="dxa" w:w="4997"/>
          </w:tcPr>
          <w:p>
            <w:r>
              <w:rPr>
                <w:b/>
              </w:rPr>
              <w:t>卷期/DOI</w:t>
            </w:r>
          </w:p>
        </w:tc>
        <w:tc>
          <w:tcPr>
            <w:tcW w:type="dxa" w:w="4997"/>
          </w:tcPr>
          <w:p>
            <w:r>
              <w:t>卷期未说明；DOI: 10.3389/frai.2026.1925701</w:t>
            </w:r>
          </w:p>
        </w:tc>
      </w:tr>
      <w:tr>
        <w:tc>
          <w:tcPr>
            <w:tcW w:type="dxa" w:w="4997"/>
          </w:tcPr>
          <w:p>
            <w:r>
              <w:rPr>
                <w:b/>
              </w:rPr>
              <w:t>在线发表时间</w:t>
            </w:r>
          </w:p>
        </w:tc>
        <w:tc>
          <w:tcPr>
            <w:tcW w:type="dxa" w:w="4997"/>
          </w:tcPr>
          <w:p>
            <w:r>
              <w:t>2026-09-22</w:t>
            </w:r>
          </w:p>
        </w:tc>
      </w:tr>
      <w:tr>
        <w:tc>
          <w:tcPr>
            <w:tcW w:type="dxa" w:w="4997"/>
          </w:tcPr>
          <w:p>
            <w:r>
              <w:rPr>
                <w:b/>
              </w:rPr>
              <w:t>SSCI分类</w:t>
            </w:r>
          </w:p>
        </w:tc>
        <w:tc>
          <w:tcPr>
            <w:tcW w:type="dxa" w:w="4997"/>
          </w:tcPr>
          <w:p>
            <w:r>
              <w:t>Multidisciplinary；Psychology</w:t>
            </w:r>
          </w:p>
        </w:tc>
      </w:tr>
      <w:tr>
        <w:tc>
          <w:tcPr>
            <w:tcW w:type="dxa" w:w="4997"/>
          </w:tcPr>
          <w:p>
            <w:r>
              <w:rPr>
                <w:b/>
              </w:rPr>
              <w:t>论文链接</w:t>
            </w:r>
          </w:p>
        </w:tc>
        <w:tc>
          <w:tcPr>
            <w:tcW w:type="dxa" w:w="4997"/>
          </w:tcPr>
          <w:p>
            <w:hyperlink r:id="rId10">
              <w:r>
                <w:rPr>
                  <w:color w:val="0563C1"/>
                  <w:u w:val="single"/>
                </w:rPr>
                <w:t>https://doi.org/10.3389/frai.2026.1925701</w:t>
              </w:r>
            </w:hyperlink>
          </w:p>
        </w:tc>
      </w:tr>
    </w:tbl>
    <w:p>
      <w:pPr>
        <w:pStyle w:val="Heading3"/>
      </w:pPr>
      <w:r>
        <w:t>研究摘要</w:t>
      </w:r>
    </w:p>
    <w:p>
      <w:r>
        <w:t>该文关注大语言模型在推理与决策支持中可能继承并再现训练数据中的性别偏见，提出一种不修改模型参数的后置偏见缓解框架。作者将偏见缓解知识从模型中分离出来，通过迭代反馈过程把识别到的偏见转化为简洁的纠正规则，并将这些规则存储在模型参数之外；推理时，系统以余弦相似度匹配输入查询与已存示例，从而检索并复用纠正知识。研究在BBQ、BiasNLI、CoBias、CrowS-Pairs和WinoBias的选定子集上评估。120条记录评估显示，Gender Assumption从15.83%降至7.08%，Stereotypical Gender Assumption从24.16%降至7.08%，Gender Neutral回答从75.00%升至90.415%，回答质量从4.15升至4.211。500条记录评估进一步显示，早期学习到的纠正规则在原始反馈语料之外仍有效，Gender Assumption从13.8%降至12.0%，Stereotypical Gender Assumption从14.4%降至11.0%，Gender Neutral回答从78.6%升至83.2%，回答质量从4.00升至4.05。作者认为，纠正性对齐知识可作为可复用外部记忆，在推理阶段提升黑箱大语言模型的公平性，而无需重新训练或修改模型参数。该文不属于学前教育、基础教育、教师数字素养或教师教育AI整合主题，未涉及教师、学生、课堂或学校样本。</w:t>
      </w:r>
    </w:p>
    <w:p>
      <w:pPr>
        <w:pStyle w:val="Heading3"/>
      </w:pPr>
      <w:r>
        <w:t>研究主要内容</w:t>
      </w:r>
    </w:p>
    <w:p>
      <w:r>
        <w:t>论文主旨是探索一种模型无关、参数不变的后置性别偏见缓解方法。其核心设计是“反馈驱动外部对齐记忆框架”：系统识别大语言模型输出中的性别偏见，并通过迭代反馈将其转化为简短的纠正规则；这些规则不写入模型参数，而是作为外部记忆独立保存。推理阶段，当新查询进入时，系统用余弦相似度在已存示例中检索相关纠正规则，并据此影响模型后续回答。作者在多个公开偏见评测数据集的选定子集上开展定量评估，报告偏见指标、性别中立回答比例与回答质量的变化。研究未涉及学前教育、基础教育、教师培训、课堂教学变革或教师角色，也未报告教育场景中的样本、参与者或干预。</w:t>
      </w:r>
    </w:p>
    <w:p>
      <w:pPr>
        <w:pStyle w:val="Heading3"/>
      </w:pPr>
      <w:r>
        <w:t>研究论点</w:t>
      </w:r>
    </w:p>
    <w:p>
      <w:r>
        <w:t>论文的核心论点是：偏见缓解知识可以从大语言模型参数中分离出来，作为可复用的外部对齐记忆，在推理阶段对黑箱模型进行后置干预；这种方法无需微调、强化学习、预训练阶段干预或大量人工提示设计，也能降低性别相关偏见并保持或改善回答质量。</w:t>
      </w:r>
    </w:p>
    <w:p>
      <w:pPr>
        <w:pStyle w:val="Heading3"/>
      </w:pPr>
      <w:r>
        <w:t>研究问题</w:t>
      </w:r>
    </w:p>
    <w:p>
      <w:r>
        <w:t>摘要提出的核心问题是：偏见缓解知识能否从模型中分离出来，并在不改变模型参数的情况下复用？进一步而言，对于仅以闭源或黑箱形式可用的大语言模型，能否通过反馈驱动的规则归纳与检索增强机制，在推理阶段实施有效的后置性别偏见缓解？</w:t>
      </w:r>
    </w:p>
    <w:p>
      <w:pPr>
        <w:pStyle w:val="Heading3"/>
      </w:pPr>
      <w:r>
        <w:t>研究方法</w:t>
      </w:r>
    </w:p>
    <w:p>
      <w:r>
        <w:t>研究类型：定量计算实验与方法开发评测，非人类参与者实验，亦非教育干预研究。样本或参与者：摘要未说明人类参与者；评估对象为选定数据集子集，包括BBQ、BiasNLI、CoBias、CrowS-Pairs和WinoBias。数据来源：上述公开偏见评测基准数据集的选定子集；报告了120条记录评估和500条记录评估。分析方法：提出反馈驱动外部对齐记忆框架，通过迭代反馈将识别到的偏见转化为纠正规则，规则独立于模型参数存储；推理时使用余弦相似度匹配检索已存示例；比较干预前后Gender Assumption、Stereotypical Gender Assumption、Gender Neutral回答比例和回答质量等指标。缺失信息：摘要未说明具体基础大语言模型名称与规模、数据集具体子集构成、统计检验方法、回答质量评分者或评分程序、是否设置消融实验；也未说明任何教育阶段、教师或学生样本。</w:t>
      </w:r>
    </w:p>
    <w:p>
      <w:pPr>
        <w:pStyle w:val="Heading3"/>
      </w:pPr>
      <w:r>
        <w:t>主要发现</w:t>
      </w:r>
    </w:p>
    <w:p>
      <w:r>
        <w:t>1. 在120条记录评估中，性别偏见指标明显下降：Gender Assumption从15.83%降至7.08%，Stereotypical Gender Assumption从24.16%降至7.08%；Gender Neutral回答从75.00%升至90.415%，回答质量从4.15升至4.211。2. 在500条记录评估中，早期学习到的纠正规则在原始反馈语料之外仍带来收益：Gender Assumption从13.8%降至12.0%，Stereotypical Gender Assumption从14.4%降至11.0%；Gender Neutral回答从78.6%升至83.2%，回答质量从4.00升至4.05。3. 结果表明，纠正性对齐知识可以作为可复用外部记忆，在推理阶段改善黑箱大语言模型的公平性，而无需重新训练或修改模型参数。</w:t>
      </w:r>
    </w:p>
    <w:p>
      <w:pPr>
        <w:pStyle w:val="Heading3"/>
      </w:pPr>
      <w:r>
        <w:t>对教师教育研究的启示</w:t>
      </w:r>
    </w:p>
    <w:p>
      <w:r>
        <w:t>该文未直接研究教师教育、学前教育或基础教育，因此不能为教师数字素养、智能素养、数据素养或AI教学应用提供直接实证依据。若从研究方法角度借鉴，它提示教育领域研究者在评估教育大语言模型公平性时，可采用公开偏见基准、前后测量化指标、外部规则记忆与检索增强设计，并检验干预规则能否迁移到原始反馈语料之外。对教师教育研究的可能间接启示是：未来若将大语言模型用于教学支持，需关注模型性别偏见与公平性，并研究外置、可审计、无需微调模型的干预方案；但该主题、样本与场景在本文摘要中均未涉及。</w:t>
      </w:r>
    </w:p>
    <w:p>
      <w:pPr>
        <w:pStyle w:val="Heading3"/>
      </w:pPr>
      <w:r>
        <w:t>APA引用格式</w:t>
      </w:r>
    </w:p>
    <w:p>
      <w:r>
        <w:t>Kumar, A., Muralitharan, A. S., Balaji, V. K., &amp; Chintala, B. R. (2026). Feedback-driven rule induction and retrieval-augmented bias mitigation for large language models. Frontiers in Artificial Intelligence. https://doi.org/10.3389/frai.2026.1925701</w:t>
      </w:r>
    </w:p>
    <w:p>
      <w:r>
        <w:br w:type="page"/>
      </w:r>
    </w:p>
    <w:p>
      <w:pPr>
        <w:pStyle w:val="Heading2"/>
      </w:pPr>
      <w:r>
        <w:t>3. Unleashing the potential of pre-trained language model in multi-dimensional writing assessment: towards more robust and explainable scoring / 释放预训练语言模型在多维写作评估中的潜力：迈向更稳健且可解释的评分</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Unleashing the potential of pre-trained language model in multi-dimensional writing assessment: towards more robust and explainable scoring / 释放预训练语言模型在多维写作评估中的潜力：迈向更稳健且可解释的评分</w:t>
            </w:r>
          </w:p>
        </w:tc>
      </w:tr>
      <w:tr>
        <w:tc>
          <w:tcPr>
            <w:tcW w:type="dxa" w:w="4997"/>
          </w:tcPr>
          <w:p>
            <w:r>
              <w:rPr>
                <w:b/>
              </w:rPr>
              <w:t>作者</w:t>
            </w:r>
          </w:p>
        </w:tc>
        <w:tc>
          <w:tcPr>
            <w:tcW w:type="dxa" w:w="4997"/>
          </w:tcPr>
          <w:p>
            <w:r>
              <w:t>Xiaoyi Tang</w:t>
            </w:r>
          </w:p>
        </w:tc>
      </w:tr>
      <w:tr>
        <w:tc>
          <w:tcPr>
            <w:tcW w:type="dxa" w:w="4997"/>
          </w:tcPr>
          <w:p>
            <w:r>
              <w:rPr>
                <w:b/>
              </w:rPr>
              <w:t>期刊及影响因子</w:t>
            </w:r>
          </w:p>
        </w:tc>
        <w:tc>
          <w:tcPr>
            <w:tcW w:type="dxa" w:w="4997"/>
          </w:tcPr>
          <w:p>
            <w:r>
              <w:t>期刊：Natural Language Processing；SSCI分类：摘要未说明；影响因子/分区：白名单未提供影响因子 / 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EDINBURGH BLDG, SHAFTESBURY RD, CAMBRIDGE, ENGLAND, CB2 8RU</w:t>
            </w:r>
          </w:p>
        </w:tc>
      </w:tr>
      <w:tr>
        <w:tc>
          <w:tcPr>
            <w:tcW w:type="dxa" w:w="4997"/>
          </w:tcPr>
          <w:p>
            <w:r>
              <w:rPr>
                <w:b/>
              </w:rPr>
              <w:t>卷期/DOI</w:t>
            </w:r>
          </w:p>
        </w:tc>
        <w:tc>
          <w:tcPr>
            <w:tcW w:type="dxa" w:w="4997"/>
          </w:tcPr>
          <w:p>
            <w:r>
              <w:t>卷期：摘要未说明；DOI：10.1017/nlp.2026.10037</w:t>
            </w:r>
          </w:p>
        </w:tc>
      </w:tr>
      <w:tr>
        <w:tc>
          <w:tcPr>
            <w:tcW w:type="dxa" w:w="4997"/>
          </w:tcPr>
          <w:p>
            <w:r>
              <w:rPr>
                <w:b/>
              </w:rPr>
              <w:t>在线发表时间</w:t>
            </w:r>
          </w:p>
        </w:tc>
        <w:tc>
          <w:tcPr>
            <w:tcW w:type="dxa" w:w="4997"/>
          </w:tcPr>
          <w:p>
            <w:r>
              <w:t>2026-09-22</w:t>
            </w:r>
          </w:p>
        </w:tc>
      </w:tr>
      <w:tr>
        <w:tc>
          <w:tcPr>
            <w:tcW w:type="dxa" w:w="4997"/>
          </w:tcPr>
          <w:p>
            <w:r>
              <w:rPr>
                <w:b/>
              </w:rPr>
              <w:t>SSCI分类</w:t>
            </w:r>
          </w:p>
        </w:tc>
        <w:tc>
          <w:tcPr>
            <w:tcW w:type="dxa" w:w="4997"/>
          </w:tcPr>
          <w:p>
            <w:r>
              <w:t>SSCI白名单匹配；分类未提供</w:t>
            </w:r>
          </w:p>
        </w:tc>
      </w:tr>
      <w:tr>
        <w:tc>
          <w:tcPr>
            <w:tcW w:type="dxa" w:w="4997"/>
          </w:tcPr>
          <w:p>
            <w:r>
              <w:rPr>
                <w:b/>
              </w:rPr>
              <w:t>论文链接</w:t>
            </w:r>
          </w:p>
        </w:tc>
        <w:tc>
          <w:tcPr>
            <w:tcW w:type="dxa" w:w="4997"/>
          </w:tcPr>
          <w:p>
            <w:hyperlink r:id="rId11">
              <w:r>
                <w:rPr>
                  <w:color w:val="0563C1"/>
                  <w:u w:val="single"/>
                </w:rPr>
                <w:t>https://doi.org/10.1017/nlp.2026.10037</w:t>
              </w:r>
            </w:hyperlink>
          </w:p>
        </w:tc>
      </w:tr>
    </w:tbl>
    <w:p>
      <w:pPr>
        <w:pStyle w:val="Heading3"/>
      </w:pPr>
      <w:r>
        <w:t>研究摘要</w:t>
      </w:r>
    </w:p>
    <w:p>
      <w:r>
        <w:t>教育评估与自然语言处理的快速进步从根本上改变了多维写作评估所采用的方法。神经网络方法已显示出显著有效性，无需手工特征工程。然而，预训练语言模型在构建多维自动作文评分（AES）模型中的潜力仍有待探索。本研究应对关键挑战，包括AES模型对细微输入扰动导致预测不准确的稳健性，以及深度学习框架内部复杂机制的阐明。我们提出一种整合方法，利用多任务学习和预训练模型BERT，并通过Fast Gradient Sign Method（FGSM）增强对抗训练，旨在提高多维AES任务中的评分准确性和稳定性。研究发现，BERT-Integrated-MTL-FGSM显著优于现有基线。整合可解释人工智能（XAI）阐明了深度学习黑箱内复杂的评估过程，为学生提供潜在的诊断反馈，并帮助教育者基于跨不同分析性评分量表的词级归因提供个性化教学。这些见解增强了多维AES模型的稳健性、泛化性和可解释性，从而为多维写作评估和教学开辟跨学科路径。</w:t>
      </w:r>
    </w:p>
    <w:p>
      <w:pPr>
        <w:pStyle w:val="Heading3"/>
      </w:pPr>
      <w:r>
        <w:t>研究主要内容</w:t>
      </w:r>
    </w:p>
    <w:p>
      <w:r>
        <w:t>论文围绕多维自动作文评分（AES），提出将多任务学习、预训练模型BERT与通过Fast Gradient Sign Method（FGSM）进行的对抗训练相结合的BERT-Integrated-MTL-FGSM方法。研究将其与现有基线比较，并引入可解释人工智能（XAI）解释深度学习评分机制，输出词级归因，以提升多维AES模型的稳健性、泛化性和可解释性，并讨论其对学生的诊断反馈和对教师个性化教学的潜在支持。</w:t>
      </w:r>
    </w:p>
    <w:p>
      <w:pPr>
        <w:pStyle w:val="Heading3"/>
      </w:pPr>
      <w:r>
        <w:t>研究论点</w:t>
      </w:r>
    </w:p>
    <w:p>
      <w:r>
        <w:t>核心论点是：预训练语言模型结合多任务学习与FGSM对抗训练，可提升多维AES任务的评分准确性和稳定性；XAI能够解释深度学习黑箱中的复杂评估过程，并将词级归因转化为潜在教学反馈。</w:t>
      </w:r>
    </w:p>
    <w:p>
      <w:pPr>
        <w:pStyle w:val="Heading3"/>
      </w:pPr>
      <w:r>
        <w:t>研究问题</w:t>
      </w:r>
    </w:p>
    <w:p>
      <w:r>
        <w:t>摘要未明确列出研究问题。根据摘要可归纳的研究关注点包括：1）预训练语言模型在构建多维AES模型中的潜力；2）AES模型对细微输入扰动导致预测不准确的稳健性；3）如何阐明深度学习框架内部的复杂机制并提升可解释性。</w:t>
      </w:r>
    </w:p>
    <w:p>
      <w:pPr>
        <w:pStyle w:val="Heading3"/>
      </w:pPr>
      <w:r>
        <w:t>研究方法</w:t>
      </w:r>
    </w:p>
    <w:p>
      <w:r>
        <w:t>研究类型：定量/计算实验研究（基于摘要中的模型开发与基准比较判断）。样本或参与者：摘要未说明。数据来源：摘要未说明（未提及作文语料库、数据集、评分标签或学段来源）。分析方法：采用多任务学习（MTL）、预训练模型BERT，并通过Fast Gradient Sign Method（FGSM）进行对抗训练，构建BERT-Integrated-MTL-FGSM模型；与现有基线比较；结合可解释人工智能（XAI）进行词级归因分析。具体数据集、样本量、评分量表、评价指标和统计检验：摘要未说明。</w:t>
      </w:r>
    </w:p>
    <w:p>
      <w:pPr>
        <w:pStyle w:val="Heading3"/>
      </w:pPr>
      <w:r>
        <w:t>主要发现</w:t>
      </w:r>
    </w:p>
    <w:p>
      <w:r>
        <w:t>1）BERT-Integrated-MTL-FGSM显著优于现有基线。2）该方法通过多任务学习、BERT预训练模型与FGSM对抗训练，旨在提升多维AES任务的评分准确性和稳定性，并应对细微输入扰动导致预测不准确的问题。3）集成XAI可揭示深度学习黑箱内的复杂评估过程，提供跨不同分析性评分量表的词级归因，为学生提供潜在诊断反馈，并帮助教育者开展个性化教学。</w:t>
      </w:r>
    </w:p>
    <w:p>
      <w:pPr>
        <w:pStyle w:val="Heading3"/>
      </w:pPr>
      <w:r>
        <w:t>对教师教育研究的启示</w:t>
      </w:r>
    </w:p>
    <w:p>
      <w:r>
        <w:t>1）前沿主题：该文提示教师教育研究可关注AI自动评分与可解释人工智能在写作评价、反馈和个性化教学中的应用，尤其是教师如何理解和运用词级归因支持形成性评价。2）研究设计：可借鉴“预训练语言模型+多任务学习+对抗训练+可解释AI”的定量计算实验与基线比较设计；但原文未涉及教师教育干预、教师样本、教师数字素养/智能素养/数据素养测量，也未说明学前教育、小学或初中阶段。3）数据收集与分析：若将此类研究迁移到教师教育或基础教育阶段，需要自行补充真实学生作文与评分数据、教师评分/反馈数据、教师问卷或培训干预数据，并明确模型评价指标、效度、公平性与可解释性分析方法；原文对这些数据来源和样本信息均未说明。</w:t>
      </w:r>
    </w:p>
    <w:p>
      <w:pPr>
        <w:pStyle w:val="Heading3"/>
      </w:pPr>
      <w:r>
        <w:t>APA引用格式</w:t>
      </w:r>
    </w:p>
    <w:p>
      <w:r>
        <w:t>Tang, X. (2026). Unleashing the potential of pre-trained language model in multi-dimensional writing assessment: Towards more robust and explainable scoring. Natural Language Processing. https://doi.org/10.1017/nlp.2026.10037</w:t>
      </w:r>
    </w:p>
    <w:p>
      <w:r>
        <w:br w:type="page"/>
      </w:r>
    </w:p>
    <w:p>
      <w:pPr>
        <w:pStyle w:val="Heading2"/>
      </w:pPr>
      <w:r>
        <w:t>4. “You can’t always go by the book to make something work”: the implementation of the ROBUST intervention, types of, and reasons for, teacher adaptations / “你不能总是照本宣科来让某事奏效”：ROBUST干预的实施、教师调适的类型及原因</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“You can’t always go by the book to make something work”: the implementation of the ROBUST intervention, types of, and reasons for, teacher adaptations / “你不能总是照本宣科来让某事奏效”：ROBUST干预的实施、教师调适的类型及原因</w:t>
            </w:r>
          </w:p>
        </w:tc>
      </w:tr>
      <w:tr>
        <w:tc>
          <w:tcPr>
            <w:tcW w:type="dxa" w:w="4997"/>
          </w:tcPr>
          <w:p>
            <w:r>
              <w:rPr>
                <w:b/>
              </w:rPr>
              <w:t>作者</w:t>
            </w:r>
          </w:p>
        </w:tc>
        <w:tc>
          <w:tcPr>
            <w:tcW w:type="dxa" w:w="4997"/>
          </w:tcPr>
          <w:p>
            <w:r>
              <w:t>Ingrid Skage, Pål Roland, Edvin Bru</w:t>
            </w:r>
          </w:p>
        </w:tc>
      </w:tr>
      <w:tr>
        <w:tc>
          <w:tcPr>
            <w:tcW w:type="dxa" w:w="4997"/>
          </w:tcPr>
          <w:p>
            <w:r>
              <w:rPr>
                <w:b/>
              </w:rPr>
              <w:t>期刊及影响因子</w:t>
            </w:r>
          </w:p>
        </w:tc>
        <w:tc>
          <w:tcPr>
            <w:tcW w:type="dxa" w:w="4997"/>
          </w:tcPr>
          <w:p>
            <w:r>
              <w:t>期刊：Scandinavian Journal of Educational Research；SSCI分类：Education &amp; Educational Research, English；影响因子/分区：白名单未提供影响因子 / 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ROUTLEDGE JOURNALS, TAYLOR &amp; FRANCIS LTD</w:t>
            </w:r>
          </w:p>
        </w:tc>
      </w:tr>
      <w:tr>
        <w:tc>
          <w:tcPr>
            <w:tcW w:type="dxa" w:w="4997"/>
          </w:tcPr>
          <w:p>
            <w:r>
              <w:rPr>
                <w:b/>
              </w:rPr>
              <w:t>卷期/DOI</w:t>
            </w:r>
          </w:p>
        </w:tc>
        <w:tc>
          <w:tcPr>
            <w:tcW w:type="dxa" w:w="4997"/>
          </w:tcPr>
          <w:p>
            <w:r>
              <w:t>卷期缺失；DOI: https://doi.org/10.1080/00313831.2026.2733207</w:t>
            </w:r>
          </w:p>
        </w:tc>
      </w:tr>
      <w:tr>
        <w:tc>
          <w:tcPr>
            <w:tcW w:type="dxa" w:w="4997"/>
          </w:tcPr>
          <w:p>
            <w:r>
              <w:rPr>
                <w:b/>
              </w:rPr>
              <w:t>在线发表时间</w:t>
            </w:r>
          </w:p>
        </w:tc>
        <w:tc>
          <w:tcPr>
            <w:tcW w:type="dxa" w:w="4997"/>
          </w:tcPr>
          <w:p>
            <w:r>
              <w:t>2026-09-20</w:t>
            </w:r>
          </w:p>
        </w:tc>
      </w:tr>
      <w:tr>
        <w:tc>
          <w:tcPr>
            <w:tcW w:type="dxa" w:w="4997"/>
          </w:tcPr>
          <w:p>
            <w:r>
              <w:rPr>
                <w:b/>
              </w:rPr>
              <w:t>SSCI分类</w:t>
            </w:r>
          </w:p>
        </w:tc>
        <w:tc>
          <w:tcPr>
            <w:tcW w:type="dxa" w:w="4997"/>
          </w:tcPr>
          <w:p>
            <w:r>
              <w:t>Education &amp; Educational Research；English</w:t>
            </w:r>
          </w:p>
        </w:tc>
      </w:tr>
      <w:tr>
        <w:tc>
          <w:tcPr>
            <w:tcW w:type="dxa" w:w="4997"/>
          </w:tcPr>
          <w:p>
            <w:r>
              <w:rPr>
                <w:b/>
              </w:rPr>
              <w:t>论文链接</w:t>
            </w:r>
          </w:p>
        </w:tc>
        <w:tc>
          <w:tcPr>
            <w:tcW w:type="dxa" w:w="4997"/>
          </w:tcPr>
          <w:p>
            <w:hyperlink r:id="rId12">
              <w:r>
                <w:rPr>
                  <w:color w:val="0563C1"/>
                  <w:u w:val="single"/>
                </w:rPr>
                <w:t>https://doi.org/10.1080/00313831.2026.2733207</w:t>
              </w:r>
            </w:hyperlink>
          </w:p>
        </w:tc>
      </w:tr>
    </w:tbl>
    <w:p>
      <w:pPr>
        <w:pStyle w:val="Heading3"/>
      </w:pPr>
      <w:r>
        <w:t>研究摘要</w:t>
      </w:r>
    </w:p>
    <w:p>
      <w:r>
        <w:t>本研究基于Resilient RCT，考察教师在学校本位社会情绪学习项目ROBUST实施过程中如何平衡项目忠实度与调适。九名教师参与焦点小组访谈。数据分析采用Moore等（2013）提出的调适分类，将调适分为对项目负向、正向或中性。结果显示，多数教师对ROBUST项目模型在剂量、结构和内容上进行了修改（正向和负向），未识别出中性调适。调适原因包括应对限制（时间、范围、制度和个人）、学生反应（参与度、有用性感知和行为不当）以及实施支持。研究建议项目应预先界定各核心成分可接受与不可接受的调适方式，并详细说明不同成分的功能以及活动如何促进改善结果。摘要未说明具体学段、国家、教师取样方式及访谈分析的具体编码流程。</w:t>
      </w:r>
    </w:p>
    <w:p>
      <w:pPr>
        <w:pStyle w:val="Heading3"/>
      </w:pPr>
      <w:r>
        <w:t>研究主要内容</w:t>
      </w:r>
    </w:p>
    <w:p>
      <w:r>
        <w:t>该研究关注校本社会情绪学习项目ROBUST在Resilient RCT中的实施过程，核心是教师如何在“忠实实施”与“本地调适”之间取得平衡。研究收集九名教师的焦点小组访谈数据，并借助既有调适分类框架分析教师对项目剂量、结构和内容的修改及其原因。结论指向干预项目设计需要更清晰地界定核心成分、可调适边界和活动作用机制。</w:t>
      </w:r>
    </w:p>
    <w:p>
      <w:pPr>
        <w:pStyle w:val="Heading3"/>
      </w:pPr>
      <w:r>
        <w:t>研究论点</w:t>
      </w:r>
    </w:p>
    <w:p>
      <w:r>
        <w:t>论文的核心论点是：教师在实施ROBUST时并非机械照搬，而是会基于现实限制、学生反应和实施支持进行调适；这些调适既有正向也有负向，因此项目需要预先明确可接受与不可接受的调适方式，并阐明核心成分功能。</w:t>
      </w:r>
    </w:p>
    <w:p>
      <w:pPr>
        <w:pStyle w:val="Heading3"/>
      </w:pPr>
      <w:r>
        <w:t>研究问题</w:t>
      </w:r>
    </w:p>
    <w:p>
      <w:r>
        <w:t>摘要未明确列出研究问题；研究目的可概括为：考察教师在Resilient RCT中实施ROBUST项目时如何平衡忠实度与调适，识别教师调适的类型及原因。</w:t>
      </w:r>
    </w:p>
    <w:p>
      <w:pPr>
        <w:pStyle w:val="Heading3"/>
      </w:pPr>
      <w:r>
        <w:t>研究方法</w:t>
      </w:r>
    </w:p>
    <w:p>
      <w:r>
        <w:t>研究类型：定性研究（摘要未使用“混合方法”或“定量”表述）。样本/参与者：九名教师，参与Resilient RCT中的ROBUST项目实施；摘要未说明学段、国家、学校数量、性别、教龄及抽样策略。数据来源：焦点小组访谈。分析方法：应用Moore等（2013）提出的分类框架，将调适归为对项目负向、正向或中性；摘要未说明是否使用主题分析、编码者信度、访谈转录与编码细节。</w:t>
      </w:r>
    </w:p>
    <w:p>
      <w:pPr>
        <w:pStyle w:val="Heading3"/>
      </w:pPr>
      <w:r>
        <w:t>主要发现</w:t>
      </w:r>
    </w:p>
    <w:p>
      <w:r>
        <w:t>1. 多数教师对ROBUST项目模型进行了调适，涉及剂量、结构和内容，且包括正向和负向调适；未识别出中性调适。2. 教师调适原因包括应对限制（时间、范围、制度和个人）、学生反应（参与度、有用性感知和行为不当）以及实施支持。3. 研究据此建议项目应预先界定各核心成分可接受与不可接受的调适方式，并详细说明不同成分的功能以及活动如何带来改善结果。</w:t>
      </w:r>
    </w:p>
    <w:p>
      <w:pPr>
        <w:pStyle w:val="Heading3"/>
      </w:pPr>
      <w:r>
        <w:t>对教师教育研究的启示</w:t>
      </w:r>
    </w:p>
    <w:p>
      <w:r>
        <w:t>对教师教育研究而言，该文提供了在RCT或项目化干预中开展实施过程研究的定性设计示例：以焦点小组访谈捕捉教师调适，并采用已有分类框架区分正向、负向和中性调适。它提示教师教育与教师培训应帮助教师识别“忠实度—调适”的边界，理解核心成分功能，并提升基于学生反应和情境限制进行专业判断的能力。若研究者关注AI教学应用、教师数字素养/智能素养/数据素养，本文并未直接涉及这些主题；其价值主要在于干预实施、教师调适和教师专业学习的研究设计与分析框架。</w:t>
      </w:r>
    </w:p>
    <w:p>
      <w:pPr>
        <w:pStyle w:val="Heading3"/>
      </w:pPr>
      <w:r>
        <w:t>APA引用格式</w:t>
      </w:r>
    </w:p>
    <w:p>
      <w:r>
        <w:t>Skage, I., Roland, P., &amp; Bru, E. (2026). “You can’t always go by the book to make something work”: The implementation of the ROBUST intervention, types of, and reasons for, teacher adaptations. Scandinavian Journal of Educational Research. https://doi.org/10.1080/00313831.2026.2733207</w:t>
      </w:r>
    </w:p>
    <w:p>
      <w:r>
        <w:br w:type="page"/>
      </w:r>
    </w:p>
    <w:p>
      <w:pPr>
        <w:pStyle w:val="Heading2"/>
      </w:pPr>
      <w:r>
        <w:t>5. Customer influence on value delivery in agricultural product development: the Brazilian farmers' perspective / 客户对农产品开发中价值交付的影响：巴西农民的视角</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Customer influence on value delivery in agricultural product development: the Brazilian farmers' perspective / 客户对农产品开发中价值交付的影响：巴西农民的视角</w:t>
            </w:r>
          </w:p>
        </w:tc>
      </w:tr>
      <w:tr>
        <w:tc>
          <w:tcPr>
            <w:tcW w:type="dxa" w:w="4997"/>
          </w:tcPr>
          <w:p>
            <w:r>
              <w:rPr>
                <w:b/>
              </w:rPr>
              <w:t>作者</w:t>
            </w:r>
          </w:p>
        </w:tc>
        <w:tc>
          <w:tcPr>
            <w:tcW w:type="dxa" w:w="4997"/>
          </w:tcPr>
          <w:p>
            <w:r>
              <w:t>Carla Beatriz da Luz Peralta, Vera Lúcia Milani Martins, Fernando Henrique Lermen, Filipe Ribeiro, Paola Graciano, Márcia Elisa Echeveste</w:t>
            </w:r>
          </w:p>
        </w:tc>
      </w:tr>
      <w:tr>
        <w:tc>
          <w:tcPr>
            <w:tcW w:type="dxa" w:w="4997"/>
          </w:tcPr>
          <w:p>
            <w:r>
              <w:rPr>
                <w:b/>
              </w:rPr>
              <w:t>期刊及影响因子</w:t>
            </w:r>
          </w:p>
        </w:tc>
        <w:tc>
          <w:tcPr>
            <w:tcW w:type="dxa" w:w="4997"/>
          </w:tcPr>
          <w:p>
            <w:r>
              <w:t>期刊：Journal of Agribusiness in Developing and Emerging Economies；SSCI分类：Economics；白名单未提供影响因子 / 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WILEY</w:t>
            </w:r>
          </w:p>
        </w:tc>
      </w:tr>
      <w:tr>
        <w:tc>
          <w:tcPr>
            <w:tcW w:type="dxa" w:w="4997"/>
          </w:tcPr>
          <w:p>
            <w:r>
              <w:rPr>
                <w:b/>
              </w:rPr>
              <w:t>卷期/DOI</w:t>
            </w:r>
          </w:p>
        </w:tc>
        <w:tc>
          <w:tcPr>
            <w:tcW w:type="dxa" w:w="4997"/>
          </w:tcPr>
          <w:p>
            <w:r>
              <w:t>卷期未提供；DOI: 10.1108/jadee-02-2025-0075</w:t>
            </w:r>
          </w:p>
        </w:tc>
      </w:tr>
      <w:tr>
        <w:tc>
          <w:tcPr>
            <w:tcW w:type="dxa" w:w="4997"/>
          </w:tcPr>
          <w:p>
            <w:r>
              <w:rPr>
                <w:b/>
              </w:rPr>
              <w:t>在线发表时间</w:t>
            </w:r>
          </w:p>
        </w:tc>
        <w:tc>
          <w:tcPr>
            <w:tcW w:type="dxa" w:w="4997"/>
          </w:tcPr>
          <w:p>
            <w:r>
              <w:t>2026-09-23</w:t>
            </w:r>
          </w:p>
        </w:tc>
      </w:tr>
      <w:tr>
        <w:tc>
          <w:tcPr>
            <w:tcW w:type="dxa" w:w="4997"/>
          </w:tcPr>
          <w:p>
            <w:r>
              <w:rPr>
                <w:b/>
              </w:rPr>
              <w:t>SSCI分类</w:t>
            </w:r>
          </w:p>
        </w:tc>
        <w:tc>
          <w:tcPr>
            <w:tcW w:type="dxa" w:w="4997"/>
          </w:tcPr>
          <w:p>
            <w:r>
              <w:t>Economics</w:t>
            </w:r>
          </w:p>
        </w:tc>
      </w:tr>
      <w:tr>
        <w:tc>
          <w:tcPr>
            <w:tcW w:type="dxa" w:w="4997"/>
          </w:tcPr>
          <w:p>
            <w:r>
              <w:rPr>
                <w:b/>
              </w:rPr>
              <w:t>论文链接</w:t>
            </w:r>
          </w:p>
        </w:tc>
        <w:tc>
          <w:tcPr>
            <w:tcW w:type="dxa" w:w="4997"/>
          </w:tcPr>
          <w:p>
            <w:hyperlink r:id="rId13">
              <w:r>
                <w:rPr>
                  <w:color w:val="0563C1"/>
                  <w:u w:val="single"/>
                </w:rPr>
                <w:t>https://doi.org/10.1108/jadee-02-2025-0075</w:t>
              </w:r>
            </w:hyperlink>
          </w:p>
        </w:tc>
      </w:tr>
    </w:tbl>
    <w:p>
      <w:pPr>
        <w:pStyle w:val="Heading3"/>
      </w:pPr>
      <w:r>
        <w:t>研究摘要</w:t>
      </w:r>
    </w:p>
    <w:p>
      <w:r>
        <w:t>目的：本研究旨在量化一款创新型谷物干燥机模型的价值交付属性，重点关注其在提升巴西农业可持续性与效率方面的潜力。设计与方法：本研究采用混合方法，整合统计推断与机器学习技术，评估能够最大化价值感知的产品属性。研究基于对135名巴西农民的问卷调查，使用人工神经网络和描述性统计确定这些属性在向客户交付价值中的相对重要性。发现：结果表明，农民优先考虑筒仓处理、干燥能力和自动化，而人工神经网络能够有效捕捉对可持续农业技术的偏好模式。研究显示，数据驱动建模可提升价值交付评估的精确度，优化产品与市场的匹配，并降低农业创新采纳中的不确定性。研究局限与启示：未来研究应探索纳入实时行为数据的动态模型，以将分析扩展到更多样化的农业生态系统。原创性/价值：本研究推进了人工智能在农业决策中的应用，为产品开发的实时价值评估提供了新框架。通过将选择实验与机器学习相结合，本研究开创了一种基于持续市场反馈来改进农产品创新的自适应方法。</w:t>
      </w:r>
    </w:p>
    <w:p>
      <w:pPr>
        <w:pStyle w:val="Heading3"/>
      </w:pPr>
      <w:r>
        <w:t>研究主要内容</w:t>
      </w:r>
    </w:p>
    <w:p>
      <w:r>
        <w:t>该论文聚焦巴西农业机械（谷物干燥机）产品开发中的客户价值交付问题，通过问卷调查收集巴西农民对产品属性的偏好数据，并运用人工神经网络与描述性统计来识别哪些产品属性对价值感知最为关键。研究属于农业经济与产品创新管理领域，核心在于以数据驱动方式优化产品与市场的匹配。</w:t>
      </w:r>
    </w:p>
    <w:p>
      <w:pPr>
        <w:pStyle w:val="Heading3"/>
      </w:pPr>
      <w:r>
        <w:t>研究论点</w:t>
      </w:r>
    </w:p>
    <w:p>
      <w:r>
        <w:t>论文主张：农业技术创新（如谷物干燥机）的价值交付不应仅由企业单方面定义，而应基于客户（农民）对产品属性的偏好进行量化评估；将统计推断与机器学习（人工神经网络）结合，可更精确地识别关键价值属性、降低创新采纳的不确定性，并为农业产品开发提供实时、自适应的评估框架。</w:t>
      </w:r>
    </w:p>
    <w:p>
      <w:pPr>
        <w:pStyle w:val="Heading3"/>
      </w:pPr>
      <w:r>
        <w:t>研究问题</w:t>
      </w:r>
    </w:p>
    <w:p>
      <w:r>
        <w:t>摘要未明确以问句形式表述研究问题。根据摘要可推断其核心问题为：创新型谷物干燥机的哪些产品属性最能提升巴西农民的价值感知，以及人工神经网络能否有效识别这些价值交付属性的相对重要性。</w:t>
      </w:r>
    </w:p>
    <w:p>
      <w:pPr>
        <w:pStyle w:val="Heading3"/>
      </w:pPr>
      <w:r>
        <w:t>研究方法</w:t>
      </w:r>
    </w:p>
    <w:p>
      <w:r>
        <w:t>研究类型：混合方法研究（整合统计推断与机器学习技术）。样本/参与者：135名巴西农民。数据来源：问卷调查（选择实验）。分析方法：描述性统计与人工神经网络，用于确定各产品属性在客户价值交付中的相对重要性。局限：摘要未说明抽样方式、问卷具体测量工具、神经网络模型结构及验证方式等细节。</w:t>
      </w:r>
    </w:p>
    <w:p>
      <w:pPr>
        <w:pStyle w:val="Heading3"/>
      </w:pPr>
      <w:r>
        <w:t>主要发现</w:t>
      </w:r>
    </w:p>
    <w:p>
      <w:r>
        <w:t>1. 巴西农民在谷物干燥机的价值感知中优先考虑三项属性：筒仓处理、干燥能力和自动化。2. 人工神经网络能够有效捕捉农民对可持续农业技术的偏好模式，表明机器学习可用于识别复杂的产品属性偏好结构。3. 数据驱动建模可提升价值交付评估的精确度、优化产品与市场匹配，并降低农业创新采纳过程中的不确定性。</w:t>
      </w:r>
    </w:p>
    <w:p>
      <w:pPr>
        <w:pStyle w:val="Heading3"/>
      </w:pPr>
      <w:r>
        <w:t>对教师教育研究的启示</w:t>
      </w:r>
    </w:p>
    <w:p>
      <w:r>
        <w:t>该论文与学前教育、基础教育阶段及教师教育主题不匹配：其研究对象为巴西农民与农业机械产品开发，未涉及AI教学应用、教师数字素养/智能素养/数据素养、教师教育与培训中的AI整合，也未涉及教育数字化背景下的教学变革与教师角色。因此，无法从主题层面为教师教育研究提供直接启示。在研究方法层面，该文采用的“问卷调查+人工神经网络”混合分析路径，或可为教育研究中量化分析教师数据素养、技术采纳偏好等议题提供方法论参照，但这属于跨领域迁移，摘要本身并未讨论教育情境。</w:t>
      </w:r>
    </w:p>
    <w:p>
      <w:pPr>
        <w:pStyle w:val="Heading3"/>
      </w:pPr>
      <w:r>
        <w:t>APA引用格式</w:t>
      </w:r>
    </w:p>
    <w:p>
      <w:r>
        <w:t>Peralta, C. B. da L., Martins, V. L. M., Lermen, F. H., Ribeiro, F., Graciano, P., &amp; Echeveste, M. E. (2026). Customer influence on value delivery in agricultural product development: the Brazilian farmers' perspective. Journal of Agribusiness in Developing and Emerging Economies. https://doi.org/10.1108/jadee-02-2025-0075</w:t>
      </w:r>
    </w:p>
    <w:p>
      <w:pPr>
        <w:pStyle w:val="Heading1"/>
      </w:pPr>
      <w:r>
        <w:t>运行统计</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检索数量</w:t>
            </w:r>
          </w:p>
        </w:tc>
        <w:tc>
          <w:tcPr>
            <w:tcW w:type="dxa" w:w="4997"/>
          </w:tcPr>
          <w:p>
            <w:r>
              <w:t>750</w:t>
            </w:r>
          </w:p>
        </w:tc>
      </w:tr>
      <w:tr>
        <w:tc>
          <w:tcPr>
            <w:tcW w:type="dxa" w:w="4997"/>
          </w:tcPr>
          <w:p>
            <w:r>
              <w:rPr>
                <w:b/>
              </w:rPr>
              <w:t>筛选数量</w:t>
            </w:r>
          </w:p>
        </w:tc>
        <w:tc>
          <w:tcPr>
            <w:tcW w:type="dxa" w:w="4997"/>
          </w:tcPr>
          <w:p>
            <w:r>
              <w:t>5</w:t>
            </w:r>
          </w:p>
        </w:tc>
      </w:tr>
      <w:tr>
        <w:tc>
          <w:tcPr>
            <w:tcW w:type="dxa" w:w="4997"/>
          </w:tcPr>
          <w:p>
            <w:r>
              <w:rPr>
                <w:b/>
              </w:rPr>
              <w:t>AI成功数量</w:t>
            </w:r>
          </w:p>
        </w:tc>
        <w:tc>
          <w:tcPr>
            <w:tcW w:type="dxa" w:w="4997"/>
          </w:tcPr>
          <w:p>
            <w:r>
              <w:t>5</w:t>
            </w:r>
          </w:p>
        </w:tc>
      </w:tr>
      <w:tr>
        <w:tc>
          <w:tcPr>
            <w:tcW w:type="dxa" w:w="4997"/>
          </w:tcPr>
          <w:p>
            <w:r>
              <w:rPr>
                <w:b/>
              </w:rPr>
              <w:t>失败数量</w:t>
            </w:r>
          </w:p>
        </w:tc>
        <w:tc>
          <w:tcPr>
            <w:tcW w:type="dxa" w:w="4997"/>
          </w:tcPr>
          <w:p>
            <w:r>
              <w:t>0</w:t>
            </w:r>
          </w:p>
        </w:tc>
      </w:tr>
      <w:tr>
        <w:tc>
          <w:tcPr>
            <w:tcW w:type="dxa" w:w="4997"/>
          </w:tcPr>
          <w:p>
            <w:r>
              <w:rPr>
                <w:b/>
              </w:rPr>
              <w:t>API耗时</w:t>
            </w:r>
          </w:p>
        </w:tc>
        <w:tc>
          <w:tcPr>
            <w:tcW w:type="dxa" w:w="4997"/>
          </w:tcPr>
          <w:p>
            <w:r>
              <w:t>95.27 秒</w:t>
            </w:r>
          </w:p>
        </w:tc>
      </w:tr>
    </w:tbl>
    <w:sectPr w:rsidR="00FC693F" w:rsidRPr="0006063C" w:rsidSect="00034616">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F5496"/>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2F5D9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27497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F5496"/>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3389/frai.2026.1910871" TargetMode="External"/><Relationship Id="rId10" Type="http://schemas.openxmlformats.org/officeDocument/2006/relationships/hyperlink" Target="https://doi.org/10.3389/frai.2026.1925701" TargetMode="External"/><Relationship Id="rId11" Type="http://schemas.openxmlformats.org/officeDocument/2006/relationships/hyperlink" Target="https://doi.org/10.1017/nlp.2026.10037" TargetMode="External"/><Relationship Id="rId12" Type="http://schemas.openxmlformats.org/officeDocument/2006/relationships/hyperlink" Target="https://doi.org/10.1080/00313831.2026.2733207" TargetMode="External"/><Relationship Id="rId13" Type="http://schemas.openxmlformats.org/officeDocument/2006/relationships/hyperlink" Target="https://doi.org/10.1108/jadee-02-2025-007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