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Microsoft YaHei" w:hAnsi="Microsoft YaHei" w:eastAsia="Microsoft YaHei"/>
          <w:b/>
          <w:color w:val="1F5496"/>
          <w:sz w:val="44"/>
        </w:rPr>
        <w:t>每日SSCI文献简报｜2026-07-11</w:t>
      </w:r>
    </w:p>
    <w:p>
      <w:pPr>
        <w:jc w:val="center"/>
      </w:pPr>
      <w:r>
        <w:rPr>
          <w:color w:val="596882"/>
          <w:sz w:val="22"/>
        </w:rPr>
        <w:t>学前与基础教育 · AI教学应用 · 教师数字/智能/数据素养 · 教师教育</w:t>
      </w:r>
    </w:p>
    <w:p>
      <w:pPr>
        <w:ind w:left="230" w:right="230"/>
      </w:pPr>
      <w:r>
        <w:rPr>
          <w:i/>
          <w:color w:val="596882"/>
        </w:rPr>
        <w:t>本期采用混合推荐策略：2篇近三年内最新候选文献 + 3篇近三年内AI教学相关度最高文献；已排除历史重复推荐。</w:t>
      </w:r>
    </w:p>
    <w:tbl>
      <w:tblPr>
        <w:tblStyle w:val="LightShading-Accent1"/>
        <w:tblW w:type="auto" w:w="0"/>
        <w:tblLook w:firstColumn="1" w:firstRow="1" w:lastColumn="0" w:lastRow="0" w:noHBand="0" w:noVBand="1" w:val="04A0"/>
      </w:tblPr>
      <w:tblGrid>
        <w:gridCol w:w="4997"/>
        <w:gridCol w:w="4997"/>
      </w:tblGrid>
      <w:tr>
        <w:tc>
          <w:tcPr>
            <w:tcW w:type="dxa" w:w="4997"/>
          </w:tcPr>
          <w:p>
            <w:r>
              <w:rPr>
                <w:b/>
              </w:rPr>
              <w:t>生成时间</w:t>
            </w:r>
          </w:p>
        </w:tc>
        <w:tc>
          <w:tcPr>
            <w:tcW w:type="dxa" w:w="4997"/>
          </w:tcPr>
          <w:p>
            <w:r>
              <w:t>2026-07-11 09:25:02（北京时间）</w:t>
            </w:r>
          </w:p>
        </w:tc>
      </w:tr>
      <w:tr>
        <w:tc>
          <w:tcPr>
            <w:tcW w:type="dxa" w:w="4997"/>
          </w:tcPr>
          <w:p>
            <w:r>
              <w:rPr>
                <w:b/>
              </w:rPr>
              <w:t>检索窗口</w:t>
            </w:r>
          </w:p>
        </w:tc>
        <w:tc>
          <w:tcPr>
            <w:tcW w:type="dxa" w:w="4997"/>
          </w:tcPr>
          <w:p>
            <w:r>
              <w:t>2023-07-12 — 2026-07-11</w:t>
            </w:r>
          </w:p>
        </w:tc>
      </w:tr>
      <w:tr>
        <w:tc>
          <w:tcPr>
            <w:tcW w:type="dxa" w:w="4997"/>
          </w:tcPr>
          <w:p>
            <w:r>
              <w:rPr>
                <w:b/>
              </w:rPr>
              <w:t>检索与筛选</w:t>
            </w:r>
          </w:p>
        </w:tc>
        <w:tc>
          <w:tcPr>
            <w:tcW w:type="dxa" w:w="4997"/>
          </w:tcPr>
          <w:p>
            <w:r>
              <w:t>检索 750 篇；筛选 5 篇；AI成功 5 篇</w:t>
            </w:r>
          </w:p>
        </w:tc>
      </w:tr>
      <w:tr>
        <w:tc>
          <w:tcPr>
            <w:tcW w:type="dxa" w:w="4997"/>
          </w:tcPr>
          <w:p>
            <w:r>
              <w:rPr>
                <w:b/>
              </w:rPr>
              <w:t>本地文件</w:t>
            </w:r>
          </w:p>
        </w:tc>
        <w:tc>
          <w:tcPr>
            <w:tcW w:type="dxa" w:w="4997"/>
          </w:tcPr>
          <w:p>
            <w:r>
              <w:t>Markdown 与 Word 文档已保存至 docs/ 目录</w:t>
            </w:r>
          </w:p>
        </w:tc>
      </w:tr>
    </w:tbl>
    <w:p/>
    <w:p>
      <w:pPr>
        <w:pStyle w:val="Heading1"/>
      </w:pPr>
      <w:r>
        <w:t>一、今日研究亮点总结</w:t>
      </w:r>
    </w:p>
    <w:p>
      <w:pPr>
        <w:ind w:left="230" w:right="230"/>
      </w:pPr>
      <w:r>
        <w:rPr>
          <w:i/>
          <w:color w:val="596882"/>
        </w:rPr>
        <w:t>今日文献聚焦AI（生成式AI与LLM）在教育中的整合与教学复杂性，涵盖教师教育者、科学教师、EFL写作等场景。研究强调通过批判性思维培养、数字节俭策略及人机协同反馈，平衡技术赋能与学习者自主，为AI深度融入课堂提供了中国语境下的重要参考。</w:t>
      </w:r>
    </w:p>
    <w:p>
      <w:pPr>
        <w:pStyle w:val="Heading1"/>
      </w:pPr>
      <w:r>
        <w:t>目录</w:t>
      </w:r>
    </w:p>
    <w:p>
      <w:pPr>
        <w:pStyle w:val="ListNumber"/>
      </w:pPr>
      <w:r>
        <w:rPr>
          <w:b/>
        </w:rPr>
        <w:t>驾驭教学复杂性：教师教育者如何创造学习机会</w:t>
      </w:r>
      <w:r>
        <w:t>｜International Journal of Technology and Design Education｜2026-07-09</w:t>
      </w:r>
    </w:p>
    <w:p>
      <w:pPr>
        <w:pStyle w:val="ListNumber"/>
      </w:pPr>
      <w:r>
        <w:rPr>
          <w:b/>
        </w:rPr>
        <w:t>科学教师关于生成式人工智能使用对教育教学过程影响的经验研究</w:t>
      </w:r>
      <w:r>
        <w:t>｜Qualitative Inquiry in Education: Theory &amp;amp; Practice｜2026-07-10</w:t>
      </w:r>
    </w:p>
    <w:p>
      <w:pPr>
        <w:pStyle w:val="ListNumber"/>
      </w:pPr>
      <w:r>
        <w:rPr>
          <w:b/>
        </w:rPr>
        <w:t>数字节俭作为调节个人学习环境的教学组成部分：一项毕业实习中的探索性研究</w:t>
      </w:r>
      <w:r>
        <w:t>｜Technology Pedagogy and Education｜2026-07-08</w:t>
      </w:r>
    </w:p>
    <w:p>
      <w:pPr>
        <w:pStyle w:val="ListNumber"/>
      </w:pPr>
      <w:r>
        <w:rPr>
          <w:b/>
        </w:rPr>
        <w:t>超越大语言模型输出：批判性思维如何塑造EFL学生与ChatGPT生成内容的互动</w:t>
      </w:r>
      <w:r>
        <w:t>｜Applied Linguistics Review｜2026-07-08</w:t>
      </w:r>
    </w:p>
    <w:p>
      <w:pPr>
        <w:pStyle w:val="ListNumber"/>
      </w:pPr>
      <w:r>
        <w:rPr>
          <w:b/>
        </w:rPr>
        <w:t>使用定制LLM聊天机器人的动态反馈在EFL议论文写作中的应用</w:t>
      </w:r>
      <w:r>
        <w:t>｜RELC Journal｜2026-07-09</w:t>
      </w:r>
    </w:p>
    <w:p>
      <w:pPr>
        <w:sectPr>
          <w:pgSz w:w="12240" w:h="15840"/>
          <w:pgMar w:top="1037" w:right="1123" w:bottom="1037" w:left="1123" w:header="720" w:footer="720" w:gutter="0"/>
          <w:cols w:space="720"/>
          <w:docGrid w:linePitch="360"/>
        </w:sectPr>
      </w:pPr>
    </w:p>
    <w:p>
      <w:pPr>
        <w:pStyle w:val="Heading1"/>
      </w:pPr>
      <w:r>
        <w:t>二、文献摘要</w:t>
      </w:r>
    </w:p>
    <w:p>
      <w:pPr>
        <w:pStyle w:val="Heading2"/>
      </w:pPr>
      <w:r>
        <w:t>1. Navigating didactic complexity: how teacher educators create learning opportunities / 驾驭教学复杂性：教师教育者如何创造学习机会</w:t>
      </w:r>
    </w:p>
    <w:tbl>
      <w:tblPr>
        <w:tblStyle w:val="LightList-Accent1"/>
        <w:tblW w:type="auto" w:w="0"/>
        <w:tblLook w:firstColumn="1" w:firstRow="1" w:lastColumn="0" w:lastRow="0" w:noHBand="0" w:noVBand="1" w:val="04A0"/>
      </w:tblPr>
      <w:tblGrid>
        <w:gridCol w:w="4997"/>
        <w:gridCol w:w="4997"/>
      </w:tblGrid>
      <w:tr>
        <w:tc>
          <w:tcPr>
            <w:tcW w:type="dxa" w:w="4997"/>
          </w:tcPr>
          <w:p>
            <w:r>
              <w:rPr>
                <w:b/>
              </w:rPr>
              <w:t>标题</w:t>
            </w:r>
          </w:p>
        </w:tc>
        <w:tc>
          <w:tcPr>
            <w:tcW w:type="dxa" w:w="4997"/>
          </w:tcPr>
          <w:p>
            <w:r>
              <w:t>Navigating didactic complexity: how teacher educators create learning opportunities / 驾驭教学复杂性：教师教育者如何创造学习机会</w:t>
            </w:r>
          </w:p>
        </w:tc>
      </w:tr>
      <w:tr>
        <w:tc>
          <w:tcPr>
            <w:tcW w:type="dxa" w:w="4997"/>
          </w:tcPr>
          <w:p>
            <w:r>
              <w:rPr>
                <w:b/>
              </w:rPr>
              <w:t>作者</w:t>
            </w:r>
          </w:p>
        </w:tc>
        <w:tc>
          <w:tcPr>
            <w:tcW w:type="dxa" w:w="4997"/>
          </w:tcPr>
          <w:p>
            <w:r>
              <w:t>Anna Perez, Maria Svensson, Jonas Hällström</w:t>
            </w:r>
          </w:p>
        </w:tc>
      </w:tr>
      <w:tr>
        <w:tc>
          <w:tcPr>
            <w:tcW w:type="dxa" w:w="4997"/>
          </w:tcPr>
          <w:p>
            <w:r>
              <w:rPr>
                <w:b/>
              </w:rPr>
              <w:t>期刊及影响因子</w:t>
            </w:r>
          </w:p>
        </w:tc>
        <w:tc>
          <w:tcPr>
            <w:tcW w:type="dxa" w:w="4997"/>
          </w:tcPr>
          <w:p>
            <w:r>
              <w:t>SSCI收录（Education &amp; Educational Research），影响因子与JCR分区未提供</w:t>
            </w:r>
          </w:p>
        </w:tc>
      </w:tr>
      <w:tr>
        <w:tc>
          <w:tcPr>
            <w:tcW w:type="dxa" w:w="4997"/>
          </w:tcPr>
          <w:p>
            <w:r>
              <w:rPr>
                <w:b/>
              </w:rPr>
              <w:t>JIF/影响因子</w:t>
            </w:r>
          </w:p>
        </w:tc>
        <w:tc>
          <w:tcPr>
            <w:tcW w:type="dxa" w:w="4997"/>
          </w:tcPr>
          <w:p>
            <w:r>
              <w:t>白名单未提供</w:t>
            </w:r>
          </w:p>
        </w:tc>
      </w:tr>
      <w:tr>
        <w:tc>
          <w:tcPr>
            <w:tcW w:type="dxa" w:w="4997"/>
          </w:tcPr>
          <w:p>
            <w:r>
              <w:rPr>
                <w:b/>
              </w:rPr>
              <w:t>JCR分区</w:t>
            </w:r>
          </w:p>
        </w:tc>
        <w:tc>
          <w:tcPr>
            <w:tcW w:type="dxa" w:w="4997"/>
          </w:tcPr>
          <w:p>
            <w:r>
              <w:t>白名单未提供</w:t>
            </w:r>
          </w:p>
        </w:tc>
      </w:tr>
      <w:tr>
        <w:tc>
          <w:tcPr>
            <w:tcW w:type="dxa" w:w="4997"/>
          </w:tcPr>
          <w:p>
            <w:r>
              <w:rPr>
                <w:b/>
              </w:rPr>
              <w:t>CiteScore</w:t>
            </w:r>
          </w:p>
        </w:tc>
        <w:tc>
          <w:tcPr>
            <w:tcW w:type="dxa" w:w="4997"/>
          </w:tcPr>
          <w:p>
            <w:r>
              <w:t>白名单未提供</w:t>
            </w:r>
          </w:p>
        </w:tc>
      </w:tr>
      <w:tr>
        <w:tc>
          <w:tcPr>
            <w:tcW w:type="dxa" w:w="4997"/>
          </w:tcPr>
          <w:p>
            <w:r>
              <w:rPr>
                <w:b/>
              </w:rPr>
              <w:t>出版社</w:t>
            </w:r>
          </w:p>
        </w:tc>
        <w:tc>
          <w:tcPr>
            <w:tcW w:type="dxa" w:w="4997"/>
          </w:tcPr>
          <w:p>
            <w:r>
              <w:t>SPRINGER</w:t>
            </w:r>
          </w:p>
        </w:tc>
      </w:tr>
      <w:tr>
        <w:tc>
          <w:tcPr>
            <w:tcW w:type="dxa" w:w="4997"/>
          </w:tcPr>
          <w:p>
            <w:r>
              <w:rPr>
                <w:b/>
              </w:rPr>
              <w:t>卷期/DOI</w:t>
            </w:r>
          </w:p>
        </w:tc>
        <w:tc>
          <w:tcPr>
            <w:tcW w:type="dxa" w:w="4997"/>
          </w:tcPr>
          <w:p>
            <w:r>
              <w:t>DOI: 10.1007/s10798-026-10104-8</w:t>
            </w:r>
          </w:p>
        </w:tc>
      </w:tr>
      <w:tr>
        <w:tc>
          <w:tcPr>
            <w:tcW w:type="dxa" w:w="4997"/>
          </w:tcPr>
          <w:p>
            <w:r>
              <w:rPr>
                <w:b/>
              </w:rPr>
              <w:t>在线发表时间</w:t>
            </w:r>
          </w:p>
        </w:tc>
        <w:tc>
          <w:tcPr>
            <w:tcW w:type="dxa" w:w="4997"/>
          </w:tcPr>
          <w:p>
            <w:r>
              <w:t>2026-07-09</w:t>
            </w:r>
          </w:p>
        </w:tc>
      </w:tr>
      <w:tr>
        <w:tc>
          <w:tcPr>
            <w:tcW w:type="dxa" w:w="4997"/>
          </w:tcPr>
          <w:p>
            <w:r>
              <w:rPr>
                <w:b/>
              </w:rPr>
              <w:t>SSCI分类</w:t>
            </w:r>
          </w:p>
        </w:tc>
        <w:tc>
          <w:tcPr>
            <w:tcW w:type="dxa" w:w="4997"/>
          </w:tcPr>
          <w:p>
            <w:r>
              <w:t>Education &amp; Educational Research；English</w:t>
            </w:r>
          </w:p>
        </w:tc>
      </w:tr>
      <w:tr>
        <w:tc>
          <w:tcPr>
            <w:tcW w:type="dxa" w:w="4997"/>
          </w:tcPr>
          <w:p>
            <w:r>
              <w:rPr>
                <w:b/>
              </w:rPr>
              <w:t>论文链接</w:t>
            </w:r>
          </w:p>
        </w:tc>
        <w:tc>
          <w:tcPr>
            <w:tcW w:type="dxa" w:w="4997"/>
          </w:tcPr>
          <w:p>
            <w:hyperlink r:id="rId9">
              <w:r>
                <w:rPr>
                  <w:color w:val="0563C1"/>
                  <w:u w:val="single"/>
                </w:rPr>
                <w:t>https://doi.org/10.1007/s10798-026-10104-8</w:t>
              </w:r>
            </w:hyperlink>
          </w:p>
        </w:tc>
      </w:tr>
    </w:tbl>
    <w:p>
      <w:pPr>
        <w:pStyle w:val="Heading3"/>
      </w:pPr>
      <w:r>
        <w:t>研究摘要</w:t>
      </w:r>
    </w:p>
    <w:p>
      <w:r>
        <w:t>摘要：多个国家已将编程纳入技术教育，但在教师教育中，编程仍是一个新兴课程领域，对教师教育者如何教授编程知之甚少。本研究调查了小学4-6年级教师教育者如何描述技术教育中的编程教学。来自瑞典11所高等教育机构的12位教师教育者接受了访谈，分享了他们教学中整合编程的实例。研究发现，教师教育者在学校与教师教育两个语境之间切换时，需要驾驭内容、教学和组织考量的复杂互动。通过定性内容分析，识别出三个视角：学科内容视角（编程被定位在技术教育内，但由于学科多样性和先验知识差异而难以结构化）、学习者视角（职前教师常被教授与小学生相当的水平）、教学视角（教师教育者示范编程教学方法）。这三个视角共同凸显了教师教育的复杂性，当编程作为新内容引入时尤为明显。研究提出了一个合并教学三角模型，通过将教师教育概念化为一个教学系统，捕捉两个语境中内容、学习者和教学重叠的关系，从而可视化这种复杂性。研究强调，需要更强的学科知识和更清晰的教学模型，帮助教师教育者驾驭当编程等新兴内容在学校与教师教育语境之间交叉时形成的教学系统。</w:t>
      </w:r>
    </w:p>
    <w:p>
      <w:pPr>
        <w:pStyle w:val="Heading3"/>
      </w:pPr>
      <w:r>
        <w:t>研究主要内容</w:t>
      </w:r>
    </w:p>
    <w:p>
      <w:r>
        <w:t>本研究聚焦于教师教育者如何教授编程这一新兴课程内容，尤其关注小学4-6年级技术教育中编程的整合。研究背景是编程已被多个国家纳入技术教育，但在教师教育领域仍缺乏相关教学实践的系统研究。</w:t>
      </w:r>
    </w:p>
    <w:p>
      <w:pPr>
        <w:pStyle w:val="Heading3"/>
      </w:pPr>
      <w:r>
        <w:t>研究论点</w:t>
      </w:r>
    </w:p>
    <w:p>
      <w:r>
        <w:t>教师教育者在教授编程时面临复杂的教学情境，需要在学校与教师教育两个语境之间协调内容、学习者和教学的关系；现有的教学模型不足以描述这种双重语境下的复杂性，因此需要新的理论模型来指导教师教育实践。</w:t>
      </w:r>
    </w:p>
    <w:p>
      <w:pPr>
        <w:pStyle w:val="Heading3"/>
      </w:pPr>
      <w:r>
        <w:t>研究问题</w:t>
      </w:r>
    </w:p>
    <w:p>
      <w:r>
        <w:t>小学4-6年级技术教育中，教师教育者如何描述编程的教学？他们面临哪些教学考量和挑战？</w:t>
      </w:r>
    </w:p>
    <w:p>
      <w:pPr>
        <w:pStyle w:val="Heading3"/>
      </w:pPr>
      <w:r>
        <w:t>研究方法</w:t>
      </w:r>
    </w:p>
    <w:p>
      <w:r>
        <w:t>研究类型：定性研究。样本：12位来自瑞典11所高等教育机构的教师教育者。数据来源：半结构化访谈，受访者提供教学中整合编程的实例。分析方法：定性内容分析，通过归纳编码识别主题，最终提炼出三个核心视角（学科内容视角、学习者视角、教学视角），并在此基础上构建合并教学三角模型。</w:t>
      </w:r>
    </w:p>
    <w:p>
      <w:pPr>
        <w:pStyle w:val="Heading3"/>
      </w:pPr>
      <w:r>
        <w:t>主要发现</w:t>
      </w:r>
    </w:p>
    <w:p>
      <w:r>
        <w:t>['教师教育者在教授编程时需要在学校语境和教师教育语境之间不断切换，协调学科内容、学习者和教学三方面的考量，这构成了一种复杂的教学系统。', '识别出三个核心教学视角：学科内容视角（编程属于技术教育范畴，但由于学科多样性（如数学、技术、计算机科学交叉）和学生先验知识差异，内容结构化困难）、学习者视角（职前教师常被以相当于小学生的水平来教授，教学深度和广度受限）、教学视角（教师教育者通过示范教学来展示编程教学方法，但自身对编程学科知识的掌握尚不充分）。', '提出了一个合并教学三角模型，该模型将教师教育视为一个包含内容、学习者、教学三个维度的教学系统，并明确两个语境（学校与教师教育）在这些维度上的重叠与张力，从而可视化新兴内容整合所带来的复杂性。']</w:t>
      </w:r>
    </w:p>
    <w:p>
      <w:pPr>
        <w:pStyle w:val="Heading3"/>
      </w:pPr>
      <w:r>
        <w:t>对教师教育研究的启示</w:t>
      </w:r>
    </w:p>
    <w:p>
      <w:r>
        <w:t>['研究设计启示：未来关于教师教育中新兴内容（如编程、AI）整合的研究，应采用定性或混合方法，通过深度访谈或课堂观察收集教师教育者的实践案例，以捕捉教学决策的情境性和复杂性。', '数据收集方法启示：访谈应鼓励受访者提供具体教学实例，通过叙事或关键事件法引出教师教育者在内容选择、学情分析、教学示范等方面的真实考量。', '分析框架启示：合并教学三角模型可作为分析教师教育中双重语境（学校与教师教育）下教学互动的理论工具，值得在其他新兴内容（如数字素养、数据素养）的整合研究中借鉴和验证。']</w:t>
      </w:r>
    </w:p>
    <w:p>
      <w:pPr>
        <w:pStyle w:val="Heading3"/>
      </w:pPr>
      <w:r>
        <w:t>APA引用格式</w:t>
      </w:r>
    </w:p>
    <w:p>
      <w:r>
        <w:t>Perez, A., Svensson, M., &amp; Hällström, J. (2026). Navigating didactic complexity: how teacher educators create learning opportunities. International Journal of Technology and Design Education. https://doi.org/10.1007/s10798-026-10104-8</w:t>
      </w:r>
    </w:p>
    <w:p>
      <w:r>
        <w:br w:type="page"/>
      </w:r>
    </w:p>
    <w:p>
      <w:pPr>
        <w:pStyle w:val="Heading2"/>
      </w:pPr>
      <w:r>
        <w:t>2. Experiences of Science Teachers Regarding the Effects of Generative Artificial Intelligence Use on Education and Teaching Processes / 科学教师关于生成式人工智能使用对教育教学过程影响的经验研究</w:t>
      </w:r>
    </w:p>
    <w:tbl>
      <w:tblPr>
        <w:tblStyle w:val="LightList-Accent1"/>
        <w:tblW w:type="auto" w:w="0"/>
        <w:tblLook w:firstColumn="1" w:firstRow="1" w:lastColumn="0" w:lastRow="0" w:noHBand="0" w:noVBand="1" w:val="04A0"/>
      </w:tblPr>
      <w:tblGrid>
        <w:gridCol w:w="4997"/>
        <w:gridCol w:w="4997"/>
      </w:tblGrid>
      <w:tr>
        <w:tc>
          <w:tcPr>
            <w:tcW w:type="dxa" w:w="4997"/>
          </w:tcPr>
          <w:p>
            <w:r>
              <w:rPr>
                <w:b/>
              </w:rPr>
              <w:t>标题</w:t>
            </w:r>
          </w:p>
        </w:tc>
        <w:tc>
          <w:tcPr>
            <w:tcW w:type="dxa" w:w="4997"/>
          </w:tcPr>
          <w:p>
            <w:r>
              <w:t>Experiences of Science Teachers Regarding the Effects of Generative Artificial Intelligence Use on Education and Teaching Processes / 科学教师关于生成式人工智能使用对教育教学过程影响的经验研究</w:t>
            </w:r>
          </w:p>
        </w:tc>
      </w:tr>
      <w:tr>
        <w:tc>
          <w:tcPr>
            <w:tcW w:type="dxa" w:w="4997"/>
          </w:tcPr>
          <w:p>
            <w:r>
              <w:rPr>
                <w:b/>
              </w:rPr>
              <w:t>作者</w:t>
            </w:r>
          </w:p>
        </w:tc>
        <w:tc>
          <w:tcPr>
            <w:tcW w:type="dxa" w:w="4997"/>
          </w:tcPr>
          <w:p>
            <w:r>
              <w:t>Neslihan Er, Naciye Aksoy</w:t>
            </w:r>
          </w:p>
        </w:tc>
      </w:tr>
      <w:tr>
        <w:tc>
          <w:tcPr>
            <w:tcW w:type="dxa" w:w="4997"/>
          </w:tcPr>
          <w:p>
            <w:r>
              <w:rPr>
                <w:b/>
              </w:rPr>
              <w:t>期刊及影响因子</w:t>
            </w:r>
          </w:p>
        </w:tc>
        <w:tc>
          <w:tcPr>
            <w:tcW w:type="dxa" w:w="4997"/>
          </w:tcPr>
          <w:p>
            <w:r>
              <w:t>未提供</w:t>
            </w:r>
          </w:p>
        </w:tc>
      </w:tr>
      <w:tr>
        <w:tc>
          <w:tcPr>
            <w:tcW w:type="dxa" w:w="4997"/>
          </w:tcPr>
          <w:p>
            <w:r>
              <w:rPr>
                <w:b/>
              </w:rPr>
              <w:t>JIF/影响因子</w:t>
            </w:r>
          </w:p>
        </w:tc>
        <w:tc>
          <w:tcPr>
            <w:tcW w:type="dxa" w:w="4997"/>
          </w:tcPr>
          <w:p>
            <w:r>
              <w:t>白名单未提供</w:t>
            </w:r>
          </w:p>
        </w:tc>
      </w:tr>
      <w:tr>
        <w:tc>
          <w:tcPr>
            <w:tcW w:type="dxa" w:w="4997"/>
          </w:tcPr>
          <w:p>
            <w:r>
              <w:rPr>
                <w:b/>
              </w:rPr>
              <w:t>JCR分区</w:t>
            </w:r>
          </w:p>
        </w:tc>
        <w:tc>
          <w:tcPr>
            <w:tcW w:type="dxa" w:w="4997"/>
          </w:tcPr>
          <w:p>
            <w:r>
              <w:t>白名单未提供</w:t>
            </w:r>
          </w:p>
        </w:tc>
      </w:tr>
      <w:tr>
        <w:tc>
          <w:tcPr>
            <w:tcW w:type="dxa" w:w="4997"/>
          </w:tcPr>
          <w:p>
            <w:r>
              <w:rPr>
                <w:b/>
              </w:rPr>
              <w:t>CiteScore</w:t>
            </w:r>
          </w:p>
        </w:tc>
        <w:tc>
          <w:tcPr>
            <w:tcW w:type="dxa" w:w="4997"/>
          </w:tcPr>
          <w:p>
            <w:r>
              <w:t>白名单未提供</w:t>
            </w:r>
          </w:p>
        </w:tc>
      </w:tr>
      <w:tr>
        <w:tc>
          <w:tcPr>
            <w:tcW w:type="dxa" w:w="4997"/>
          </w:tcPr>
          <w:p>
            <w:r>
              <w:rPr>
                <w:b/>
              </w:rPr>
              <w:t>出版社</w:t>
            </w:r>
          </w:p>
        </w:tc>
        <w:tc>
          <w:tcPr>
            <w:tcW w:type="dxa" w:w="4997"/>
          </w:tcPr>
          <w:p>
            <w:r>
              <w:t>SAGE PUBLICATIONS INC</w:t>
            </w:r>
          </w:p>
        </w:tc>
      </w:tr>
      <w:tr>
        <w:tc>
          <w:tcPr>
            <w:tcW w:type="dxa" w:w="4997"/>
          </w:tcPr>
          <w:p>
            <w:r>
              <w:rPr>
                <w:b/>
              </w:rPr>
              <w:t>卷期/DOI</w:t>
            </w:r>
          </w:p>
        </w:tc>
        <w:tc>
          <w:tcPr>
            <w:tcW w:type="dxa" w:w="4997"/>
          </w:tcPr>
          <w:p>
            <w:r>
              <w:t>DOI: 10.59455/qietp.59</w:t>
            </w:r>
          </w:p>
        </w:tc>
      </w:tr>
      <w:tr>
        <w:tc>
          <w:tcPr>
            <w:tcW w:type="dxa" w:w="4997"/>
          </w:tcPr>
          <w:p>
            <w:r>
              <w:rPr>
                <w:b/>
              </w:rPr>
              <w:t>在线发表时间</w:t>
            </w:r>
          </w:p>
        </w:tc>
        <w:tc>
          <w:tcPr>
            <w:tcW w:type="dxa" w:w="4997"/>
          </w:tcPr>
          <w:p>
            <w:r>
              <w:t>2026-07-10</w:t>
            </w:r>
          </w:p>
        </w:tc>
      </w:tr>
      <w:tr>
        <w:tc>
          <w:tcPr>
            <w:tcW w:type="dxa" w:w="4997"/>
          </w:tcPr>
          <w:p>
            <w:r>
              <w:rPr>
                <w:b/>
              </w:rPr>
              <w:t>SSCI分类</w:t>
            </w:r>
          </w:p>
        </w:tc>
        <w:tc>
          <w:tcPr>
            <w:tcW w:type="dxa" w:w="4997"/>
          </w:tcPr>
          <w:p>
            <w:r>
              <w:t>Interdisciplinary；Social Sciences</w:t>
            </w:r>
          </w:p>
        </w:tc>
      </w:tr>
      <w:tr>
        <w:tc>
          <w:tcPr>
            <w:tcW w:type="dxa" w:w="4997"/>
          </w:tcPr>
          <w:p>
            <w:r>
              <w:rPr>
                <w:b/>
              </w:rPr>
              <w:t>论文链接</w:t>
            </w:r>
          </w:p>
        </w:tc>
        <w:tc>
          <w:tcPr>
            <w:tcW w:type="dxa" w:w="4997"/>
          </w:tcPr>
          <w:p>
            <w:hyperlink r:id="rId10">
              <w:r>
                <w:rPr>
                  <w:color w:val="0563C1"/>
                  <w:u w:val="single"/>
                </w:rPr>
                <w:t>https://doi.org/10.59455/qietp.59</w:t>
              </w:r>
            </w:hyperlink>
          </w:p>
        </w:tc>
      </w:tr>
    </w:tbl>
    <w:p>
      <w:pPr>
        <w:pStyle w:val="Heading3"/>
      </w:pPr>
      <w:r>
        <w:t>研究摘要</w:t>
      </w:r>
    </w:p>
    <w:p>
      <w:r>
        <w:t>目的：本研究考察科学教师在其教学和学习过程中使用生成式人工智能的经验，以及他们赋予这些经验的意义。方法：研究采用定性、描述性现象学方法。研究小组由六名在国民教育部附属公立学校工作且接受过生成式人工智能培训的科学教师组成。采用滚雪球抽样选择参与者。通过在线访谈收集数据，使用研究者开发的15项半结构化访谈表。结果：研究结果表明，科学教师主要将人工智能作为支持教学的工具。有证据表明，人工智能支持的应用提高了学生对学科的兴趣和动机，促进了抽象概念的具体化，并增强了学习保持。然而，教师指出，课时不足、不适合整合生成式人工智能的课程设计、缺乏技术基础设施以及以考试为中心的教育体系等因素限制了这些应用在课堂中的使用。此外，强调当前评估和评价体系未能充分反映生成式人工智能支持的学习成果质量。启示：研究结果表明，生成式人工智能在科学教育中提供了重要的教学机会。然而，要有效利用这一潜力，需要发展教师使用生成式人工智能进行教学的能力，增加基于实践的专业发展倡议，并支持课堂实施。此外，开发适合生成式人工智能支持学习环境的灵活的、过程导向的评价方法也很重要。</w:t>
      </w:r>
    </w:p>
    <w:p>
      <w:pPr>
        <w:pStyle w:val="Heading3"/>
      </w:pPr>
      <w:r>
        <w:t>研究主要内容</w:t>
      </w:r>
    </w:p>
    <w:p>
      <w:r>
        <w:t>本研究采用描述性现象学方法，探讨科学教师对生成式人工智能在教学过程中作用的经验与意义建构。</w:t>
      </w:r>
    </w:p>
    <w:p>
      <w:pPr>
        <w:pStyle w:val="Heading3"/>
      </w:pPr>
      <w:r>
        <w:t>研究论点</w:t>
      </w:r>
    </w:p>
    <w:p>
      <w:r>
        <w:t>生成式人工智能在科学教育中具有显著的教学潜力，但其有效应用受到课堂时间、课程设计、基础设施和评价体系等多重因素的限制，需要系统地发展教师相关能力和调整教育系统支持。</w:t>
      </w:r>
    </w:p>
    <w:p>
      <w:pPr>
        <w:pStyle w:val="Heading3"/>
      </w:pPr>
      <w:r>
        <w:t>研究问题</w:t>
      </w:r>
    </w:p>
    <w:p>
      <w:r>
        <w:t>科学教师在使用生成式人工智能于教学过程中有哪些经验，以及他们赋予这些经验什么意义？</w:t>
      </w:r>
    </w:p>
    <w:p>
      <w:pPr>
        <w:pStyle w:val="Heading3"/>
      </w:pPr>
      <w:r>
        <w:t>研究方法</w:t>
      </w:r>
    </w:p>
    <w:p>
      <w:r>
        <w:t>研究类型：定性研究。参与者：6名在公立学校工作且接受过生成式人工智能培训的科学教师。数据来源：通过在线半结构化访谈收集数据（15题访谈表）。分析方法：摘要未说明具体的分析方法（如主题分析、现象学还原等）。</w:t>
      </w:r>
    </w:p>
    <w:p>
      <w:pPr>
        <w:pStyle w:val="Heading3"/>
      </w:pPr>
      <w:r>
        <w:t>主要发现</w:t>
      </w:r>
    </w:p>
    <w:p>
      <w:r>
        <w:t>1. 教师主要将生成式人工智能作为支持教学的工具，用于辅助课堂活动。2. 人工智能支持的应用提高了学生的兴趣与动机，有助于抽象概念的具体化，并增强了学习内容的保持。3. 限制因素包括课时不足、课程设计不适合整合生成式人工智能、技术基础设施缺乏以及以考试为中心的教育体系；同时现有评价体系未能充分反映生成式人工智能支持的学习成果。</w:t>
      </w:r>
    </w:p>
    <w:p>
      <w:pPr>
        <w:pStyle w:val="Heading3"/>
      </w:pPr>
      <w:r>
        <w:t>对教师教育研究的启示</w:t>
      </w:r>
    </w:p>
    <w:p>
      <w:r>
        <w:t>1. 需要培养教师将生成式人工智能用于教学目的的能力，可设计针对性的教师培训课程。2. 应增加实践性的专业发展活动，支持教师在真实课堂中的实施。3. 发展灵活的、过程导向的评估方法，以适应生成式人工智能支持的学习环境，并促进评价与教学目标的匹配。</w:t>
      </w:r>
    </w:p>
    <w:p>
      <w:pPr>
        <w:pStyle w:val="Heading3"/>
      </w:pPr>
      <w:r>
        <w:t>APA引用格式</w:t>
      </w:r>
    </w:p>
    <w:p>
      <w:r>
        <w:t>Er, N., &amp; Aksoy, N. (2026). Experiences of science teachers regarding the effects of generative artificial intelligence use on education and teaching processes. Qualitative Inquiry in Education: Theory &amp; Practice. https://doi.org/10.59455/qietp.59</w:t>
      </w:r>
    </w:p>
    <w:p>
      <w:r>
        <w:br w:type="page"/>
      </w:r>
    </w:p>
    <w:p>
      <w:pPr>
        <w:pStyle w:val="Heading2"/>
      </w:pPr>
      <w:r>
        <w:t>3. Digital frugality as a pedagogical component for regulating personal learning environments. An exploratory study in an end-of-school internship / 数字节俭作为调节个人学习环境的教学组成部分：一项毕业实习中的探索性研究</w:t>
      </w:r>
    </w:p>
    <w:tbl>
      <w:tblPr>
        <w:tblStyle w:val="LightList-Accent1"/>
        <w:tblW w:type="auto" w:w="0"/>
        <w:tblLook w:firstColumn="1" w:firstRow="1" w:lastColumn="0" w:lastRow="0" w:noHBand="0" w:noVBand="1" w:val="04A0"/>
      </w:tblPr>
      <w:tblGrid>
        <w:gridCol w:w="4997"/>
        <w:gridCol w:w="4997"/>
      </w:tblGrid>
      <w:tr>
        <w:tc>
          <w:tcPr>
            <w:tcW w:type="dxa" w:w="4997"/>
          </w:tcPr>
          <w:p>
            <w:r>
              <w:rPr>
                <w:b/>
              </w:rPr>
              <w:t>标题</w:t>
            </w:r>
          </w:p>
        </w:tc>
        <w:tc>
          <w:tcPr>
            <w:tcW w:type="dxa" w:w="4997"/>
          </w:tcPr>
          <w:p>
            <w:r>
              <w:t>Digital frugality as a pedagogical component for regulating personal learning environments. An exploratory study in an end-of-school internship / 数字节俭作为调节个人学习环境的教学组成部分：一项毕业实习中的探索性研究</w:t>
            </w:r>
          </w:p>
        </w:tc>
      </w:tr>
      <w:tr>
        <w:tc>
          <w:tcPr>
            <w:tcW w:type="dxa" w:w="4997"/>
          </w:tcPr>
          <w:p>
            <w:r>
              <w:rPr>
                <w:b/>
              </w:rPr>
              <w:t>作者</w:t>
            </w:r>
          </w:p>
        </w:tc>
        <w:tc>
          <w:tcPr>
            <w:tcW w:type="dxa" w:w="4997"/>
          </w:tcPr>
          <w:p>
            <w:r>
              <w:t>Lionel Alvarez, Joris Felder</w:t>
            </w:r>
          </w:p>
        </w:tc>
      </w:tr>
      <w:tr>
        <w:tc>
          <w:tcPr>
            <w:tcW w:type="dxa" w:w="4997"/>
          </w:tcPr>
          <w:p>
            <w:r>
              <w:rPr>
                <w:b/>
              </w:rPr>
              <w:t>期刊及影响因子</w:t>
            </w:r>
          </w:p>
        </w:tc>
        <w:tc>
          <w:tcPr>
            <w:tcW w:type="dxa" w:w="4997"/>
          </w:tcPr>
          <w:p>
            <w:r>
              <w:t>摘要未说明影响因子/JCR分区</w:t>
            </w:r>
          </w:p>
        </w:tc>
      </w:tr>
      <w:tr>
        <w:tc>
          <w:tcPr>
            <w:tcW w:type="dxa" w:w="4997"/>
          </w:tcPr>
          <w:p>
            <w:r>
              <w:rPr>
                <w:b/>
              </w:rPr>
              <w:t>JIF/影响因子</w:t>
            </w:r>
          </w:p>
        </w:tc>
        <w:tc>
          <w:tcPr>
            <w:tcW w:type="dxa" w:w="4997"/>
          </w:tcPr>
          <w:p>
            <w:r>
              <w:t>白名单未提供</w:t>
            </w:r>
          </w:p>
        </w:tc>
      </w:tr>
      <w:tr>
        <w:tc>
          <w:tcPr>
            <w:tcW w:type="dxa" w:w="4997"/>
          </w:tcPr>
          <w:p>
            <w:r>
              <w:rPr>
                <w:b/>
              </w:rPr>
              <w:t>JCR分区</w:t>
            </w:r>
          </w:p>
        </w:tc>
        <w:tc>
          <w:tcPr>
            <w:tcW w:type="dxa" w:w="4997"/>
          </w:tcPr>
          <w:p>
            <w:r>
              <w:t>白名单未提供</w:t>
            </w:r>
          </w:p>
        </w:tc>
      </w:tr>
      <w:tr>
        <w:tc>
          <w:tcPr>
            <w:tcW w:type="dxa" w:w="4997"/>
          </w:tcPr>
          <w:p>
            <w:r>
              <w:rPr>
                <w:b/>
              </w:rPr>
              <w:t>CiteScore</w:t>
            </w:r>
          </w:p>
        </w:tc>
        <w:tc>
          <w:tcPr>
            <w:tcW w:type="dxa" w:w="4997"/>
          </w:tcPr>
          <w:p>
            <w:r>
              <w:t>白名单未提供</w:t>
            </w:r>
          </w:p>
        </w:tc>
      </w:tr>
      <w:tr>
        <w:tc>
          <w:tcPr>
            <w:tcW w:type="dxa" w:w="4997"/>
          </w:tcPr>
          <w:p>
            <w:r>
              <w:rPr>
                <w:b/>
              </w:rPr>
              <w:t>出版社</w:t>
            </w:r>
          </w:p>
        </w:tc>
        <w:tc>
          <w:tcPr>
            <w:tcW w:type="dxa" w:w="4997"/>
          </w:tcPr>
          <w:p>
            <w:r>
              <w:t>1747-5139</w:t>
            </w:r>
          </w:p>
        </w:tc>
      </w:tr>
      <w:tr>
        <w:tc>
          <w:tcPr>
            <w:tcW w:type="dxa" w:w="4997"/>
          </w:tcPr>
          <w:p>
            <w:r>
              <w:rPr>
                <w:b/>
              </w:rPr>
              <w:t>卷期/DOI</w:t>
            </w:r>
          </w:p>
        </w:tc>
        <w:tc>
          <w:tcPr>
            <w:tcW w:type="dxa" w:w="4997"/>
          </w:tcPr>
          <w:p>
            <w:r>
              <w:t>https://doi.org/10.1080/1475939x.2026.2695865</w:t>
            </w:r>
          </w:p>
        </w:tc>
      </w:tr>
      <w:tr>
        <w:tc>
          <w:tcPr>
            <w:tcW w:type="dxa" w:w="4997"/>
          </w:tcPr>
          <w:p>
            <w:r>
              <w:rPr>
                <w:b/>
              </w:rPr>
              <w:t>在线发表时间</w:t>
            </w:r>
          </w:p>
        </w:tc>
        <w:tc>
          <w:tcPr>
            <w:tcW w:type="dxa" w:w="4997"/>
          </w:tcPr>
          <w:p>
            <w:r>
              <w:t>2026-07-08</w:t>
            </w:r>
          </w:p>
        </w:tc>
      </w:tr>
      <w:tr>
        <w:tc>
          <w:tcPr>
            <w:tcW w:type="dxa" w:w="4997"/>
          </w:tcPr>
          <w:p>
            <w:r>
              <w:rPr>
                <w:b/>
              </w:rPr>
              <w:t>SSCI分类</w:t>
            </w:r>
          </w:p>
        </w:tc>
        <w:tc>
          <w:tcPr>
            <w:tcW w:type="dxa" w:w="4997"/>
          </w:tcPr>
          <w:p>
            <w:r>
              <w:t>Education &amp; Educational Research；English</w:t>
            </w:r>
          </w:p>
        </w:tc>
      </w:tr>
      <w:tr>
        <w:tc>
          <w:tcPr>
            <w:tcW w:type="dxa" w:w="4997"/>
          </w:tcPr>
          <w:p>
            <w:r>
              <w:rPr>
                <w:b/>
              </w:rPr>
              <w:t>论文链接</w:t>
            </w:r>
          </w:p>
        </w:tc>
        <w:tc>
          <w:tcPr>
            <w:tcW w:type="dxa" w:w="4997"/>
          </w:tcPr>
          <w:p>
            <w:hyperlink r:id="rId11">
              <w:r>
                <w:rPr>
                  <w:color w:val="0563C1"/>
                  <w:u w:val="single"/>
                </w:rPr>
                <w:t>https://doi.org/10.1080/1475939x.2026.2695865</w:t>
              </w:r>
            </w:hyperlink>
          </w:p>
        </w:tc>
      </w:tr>
    </w:tbl>
    <w:p>
      <w:pPr>
        <w:pStyle w:val="Heading3"/>
      </w:pPr>
      <w:r>
        <w:t>研究摘要</w:t>
      </w:r>
    </w:p>
    <w:p>
      <w:r>
        <w:t>数字设备已被概念化为自我的延伸，特别是在个人学习环境（PLE）中。技术解决方案的能力可能激励其广泛使用。在此背景下，数字节俭可以作为一种教育工具。本研究采用单病例交替处理实验设计，学生和教师（N = 14）参与数字节俭实践，收集与参与度和学习相关的变量。随后通过焦点小组和PLE建模来描述主观体验。尽管数字节俭与因变量之间缺乏系统性的功能关系，但参与者将其节俭体验描述为促进学习和理解知情选择以调节个人学习环境的催化剂。因此，扩展认知的技术解决方案应辅以教育措施，使学习者能够调节其个人学习环境。数字节俭作为学习手段应成为进一步研究的重点。</w:t>
      </w:r>
    </w:p>
    <w:p>
      <w:pPr>
        <w:pStyle w:val="Heading3"/>
      </w:pPr>
      <w:r>
        <w:t>研究主要内容</w:t>
      </w:r>
    </w:p>
    <w:p>
      <w:r>
        <w:t>本研究聚焦于数字节俭（digital frugality）作为调节个人学习环境（PLE）的教学组成部分，在毕业实习情境中采用单病例交替处理实验设计，结合定量变量收集与定性焦点小组及PLE建模，探索数字节俭对学习参与度和学习效果的影响。</w:t>
      </w:r>
    </w:p>
    <w:p>
      <w:pPr>
        <w:pStyle w:val="Heading3"/>
      </w:pPr>
      <w:r>
        <w:t>研究论点</w:t>
      </w:r>
    </w:p>
    <w:p>
      <w:r>
        <w:t>数字设备的广泛使用可能抑制学习者对PLE的有意识调节，而数字节俭作为一种教学策略，能够促使学习者反思技术使用并做出更明智的选择，从而提升学习效果。</w:t>
      </w:r>
    </w:p>
    <w:p>
      <w:pPr>
        <w:pStyle w:val="Heading3"/>
      </w:pPr>
      <w:r>
        <w:t>研究问题</w:t>
      </w:r>
    </w:p>
    <w:p>
      <w:r>
        <w:t>摘要未明确说明具体研究问题，但可推断为：数字节俭作为教学手段如何影响学习者的参与度、学习效果及其对个人学习环境的调节能力？</w:t>
      </w:r>
    </w:p>
    <w:p>
      <w:pPr>
        <w:pStyle w:val="Heading3"/>
      </w:pPr>
      <w:r>
        <w:t>研究方法</w:t>
      </w:r>
    </w:p>
    <w:p>
      <w:r>
        <w:t>混合方法研究。定量部分：单病例交替处理实验设计，收集与参与度和学习相关的变量（具体变量摘要未说明）；定性部分：焦点小组访谈和PLE建模。样本：学生和教师共14人（N=14）。数据来源：实验期间收集的变量、焦点小组转录、PLE模型。分析方法：定量分析未明确说明（摘要未说明具体统计方法），定性分析基于焦点小组和PLE建模进行主题描述。</w:t>
      </w:r>
    </w:p>
    <w:p>
      <w:pPr>
        <w:pStyle w:val="Heading3"/>
      </w:pPr>
      <w:r>
        <w:t>主要发现</w:t>
      </w:r>
    </w:p>
    <w:p>
      <w:r>
        <w:t>['数字节俭与因变量（参与度和学习）之间未发现系统性的功能关系。', '参与者将数字节俭体验描述为促进学习、加深对个人学习环境调节中知情选择理解的催化剂。', '技术解决方案应辅以教育措施，帮助学习者更有效地调节其个人学习环境。']</w:t>
      </w:r>
    </w:p>
    <w:p>
      <w:pPr>
        <w:pStyle w:val="Heading3"/>
      </w:pPr>
      <w:r>
        <w:t>对教师教育研究的启示</w:t>
      </w:r>
    </w:p>
    <w:p>
      <w:r>
        <w:t>本研究采用单病例交替处理实验设计（一种小样本、高内部效度的定量设计）与定性焦点小组和建模方法相结合，为教师教育研究提供了混合方法设计范例；未来研究可借鉴该设计考察数字化教学干预对教师数字素养、智能素养或数据素养的影响；同时，数字节俭作为一种教学组成部分，提示教师教育课程应包含对技术使用反思与节俭意识的培养，以增强教师和教育者的数字化教学决策能力。</w:t>
      </w:r>
    </w:p>
    <w:p>
      <w:pPr>
        <w:pStyle w:val="Heading3"/>
      </w:pPr>
      <w:r>
        <w:t>APA引用格式</w:t>
      </w:r>
    </w:p>
    <w:p>
      <w:r>
        <w:t>Alvarez, L., &amp; Felder, J. (2026). Digital frugality as a pedagogical component for regulating personal learning environments: An exploratory study in an end-of-school internship. Technology, Pedagogy and Education. https://doi.org/10.1080/1475939x.2026.2695865</w:t>
      </w:r>
    </w:p>
    <w:p>
      <w:r>
        <w:br w:type="page"/>
      </w:r>
    </w:p>
    <w:p>
      <w:pPr>
        <w:pStyle w:val="Heading2"/>
      </w:pPr>
      <w:r>
        <w:t>4. Beyond LLM output: how critical thinking shapes EFL students’ interaction with ChatGPT generated content / 超越大语言模型输出：批判性思维如何塑造EFL学生与ChatGPT生成内容的互动</w:t>
      </w:r>
    </w:p>
    <w:tbl>
      <w:tblPr>
        <w:tblStyle w:val="LightList-Accent1"/>
        <w:tblW w:type="auto" w:w="0"/>
        <w:tblLook w:firstColumn="1" w:firstRow="1" w:lastColumn="0" w:lastRow="0" w:noHBand="0" w:noVBand="1" w:val="04A0"/>
      </w:tblPr>
      <w:tblGrid>
        <w:gridCol w:w="4997"/>
        <w:gridCol w:w="4997"/>
      </w:tblGrid>
      <w:tr>
        <w:tc>
          <w:tcPr>
            <w:tcW w:type="dxa" w:w="4997"/>
          </w:tcPr>
          <w:p>
            <w:r>
              <w:rPr>
                <w:b/>
              </w:rPr>
              <w:t>标题</w:t>
            </w:r>
          </w:p>
        </w:tc>
        <w:tc>
          <w:tcPr>
            <w:tcW w:type="dxa" w:w="4997"/>
          </w:tcPr>
          <w:p>
            <w:r>
              <w:t>Beyond LLM output: how critical thinking shapes EFL students’ interaction with ChatGPT generated content / 超越大语言模型输出：批判性思维如何塑造EFL学生与ChatGPT生成内容的互动</w:t>
            </w:r>
          </w:p>
        </w:tc>
      </w:tr>
      <w:tr>
        <w:tc>
          <w:tcPr>
            <w:tcW w:type="dxa" w:w="4997"/>
          </w:tcPr>
          <w:p>
            <w:r>
              <w:rPr>
                <w:b/>
              </w:rPr>
              <w:t>作者</w:t>
            </w:r>
          </w:p>
        </w:tc>
        <w:tc>
          <w:tcPr>
            <w:tcW w:type="dxa" w:w="4997"/>
          </w:tcPr>
          <w:p>
            <w:r>
              <w:t>Nawel Bengrait</w:t>
            </w:r>
          </w:p>
        </w:tc>
      </w:tr>
      <w:tr>
        <w:tc>
          <w:tcPr>
            <w:tcW w:type="dxa" w:w="4997"/>
          </w:tcPr>
          <w:p>
            <w:r>
              <w:rPr>
                <w:b/>
              </w:rPr>
              <w:t>期刊及影响因子</w:t>
            </w:r>
          </w:p>
        </w:tc>
        <w:tc>
          <w:tcPr>
            <w:tcW w:type="dxa" w:w="4997"/>
          </w:tcPr>
          <w:p>
            <w:r>
              <w:t>白名单未提供影响因子 / 白名单未提供JCR分区</w:t>
            </w:r>
          </w:p>
        </w:tc>
      </w:tr>
      <w:tr>
        <w:tc>
          <w:tcPr>
            <w:tcW w:type="dxa" w:w="4997"/>
          </w:tcPr>
          <w:p>
            <w:r>
              <w:rPr>
                <w:b/>
              </w:rPr>
              <w:t>JIF/影响因子</w:t>
            </w:r>
          </w:p>
        </w:tc>
        <w:tc>
          <w:tcPr>
            <w:tcW w:type="dxa" w:w="4997"/>
          </w:tcPr>
          <w:p>
            <w:r>
              <w:t>白名单未提供</w:t>
            </w:r>
          </w:p>
        </w:tc>
      </w:tr>
      <w:tr>
        <w:tc>
          <w:tcPr>
            <w:tcW w:type="dxa" w:w="4997"/>
          </w:tcPr>
          <w:p>
            <w:r>
              <w:rPr>
                <w:b/>
              </w:rPr>
              <w:t>JCR分区</w:t>
            </w:r>
          </w:p>
        </w:tc>
        <w:tc>
          <w:tcPr>
            <w:tcW w:type="dxa" w:w="4997"/>
          </w:tcPr>
          <w:p>
            <w:r>
              <w:t>白名单未提供</w:t>
            </w:r>
          </w:p>
        </w:tc>
      </w:tr>
      <w:tr>
        <w:tc>
          <w:tcPr>
            <w:tcW w:type="dxa" w:w="4997"/>
          </w:tcPr>
          <w:p>
            <w:r>
              <w:rPr>
                <w:b/>
              </w:rPr>
              <w:t>CiteScore</w:t>
            </w:r>
          </w:p>
        </w:tc>
        <w:tc>
          <w:tcPr>
            <w:tcW w:type="dxa" w:w="4997"/>
          </w:tcPr>
          <w:p>
            <w:r>
              <w:t>白名单未提供</w:t>
            </w:r>
          </w:p>
        </w:tc>
      </w:tr>
      <w:tr>
        <w:tc>
          <w:tcPr>
            <w:tcW w:type="dxa" w:w="4997"/>
          </w:tcPr>
          <w:p>
            <w:r>
              <w:rPr>
                <w:b/>
              </w:rPr>
              <w:t>出版社</w:t>
            </w:r>
          </w:p>
        </w:tc>
        <w:tc>
          <w:tcPr>
            <w:tcW w:type="dxa" w:w="4997"/>
          </w:tcPr>
          <w:p>
            <w:r>
              <w:t>WALTER DE GRUYTER GMBH</w:t>
            </w:r>
          </w:p>
        </w:tc>
      </w:tr>
      <w:tr>
        <w:tc>
          <w:tcPr>
            <w:tcW w:type="dxa" w:w="4997"/>
          </w:tcPr>
          <w:p>
            <w:r>
              <w:rPr>
                <w:b/>
              </w:rPr>
              <w:t>卷期/DOI</w:t>
            </w:r>
          </w:p>
        </w:tc>
        <w:tc>
          <w:tcPr>
            <w:tcW w:type="dxa" w:w="4997"/>
          </w:tcPr>
          <w:p>
            <w:r>
              <w:t>卷期未提供, DOI: https://doi.org/10.1515/applirev-2025-0254</w:t>
            </w:r>
          </w:p>
        </w:tc>
      </w:tr>
      <w:tr>
        <w:tc>
          <w:tcPr>
            <w:tcW w:type="dxa" w:w="4997"/>
          </w:tcPr>
          <w:p>
            <w:r>
              <w:rPr>
                <w:b/>
              </w:rPr>
              <w:t>在线发表时间</w:t>
            </w:r>
          </w:p>
        </w:tc>
        <w:tc>
          <w:tcPr>
            <w:tcW w:type="dxa" w:w="4997"/>
          </w:tcPr>
          <w:p>
            <w:r>
              <w:t>2026-07-08</w:t>
            </w:r>
          </w:p>
        </w:tc>
      </w:tr>
      <w:tr>
        <w:tc>
          <w:tcPr>
            <w:tcW w:type="dxa" w:w="4997"/>
          </w:tcPr>
          <w:p>
            <w:r>
              <w:rPr>
                <w:b/>
              </w:rPr>
              <w:t>SSCI分类</w:t>
            </w:r>
          </w:p>
        </w:tc>
        <w:tc>
          <w:tcPr>
            <w:tcW w:type="dxa" w:w="4997"/>
          </w:tcPr>
          <w:p>
            <w:r>
              <w:t>English；Linguistics</w:t>
            </w:r>
          </w:p>
        </w:tc>
      </w:tr>
      <w:tr>
        <w:tc>
          <w:tcPr>
            <w:tcW w:type="dxa" w:w="4997"/>
          </w:tcPr>
          <w:p>
            <w:r>
              <w:rPr>
                <w:b/>
              </w:rPr>
              <w:t>论文链接</w:t>
            </w:r>
          </w:p>
        </w:tc>
        <w:tc>
          <w:tcPr>
            <w:tcW w:type="dxa" w:w="4997"/>
          </w:tcPr>
          <w:p>
            <w:hyperlink r:id="rId12">
              <w:r>
                <w:rPr>
                  <w:color w:val="0563C1"/>
                  <w:u w:val="single"/>
                </w:rPr>
                <w:t>https://doi.org/10.1515/applirev-2025-0254</w:t>
              </w:r>
            </w:hyperlink>
          </w:p>
        </w:tc>
      </w:tr>
    </w:tbl>
    <w:p>
      <w:pPr>
        <w:pStyle w:val="Heading3"/>
      </w:pPr>
      <w:r>
        <w:t>研究摘要</w:t>
      </w:r>
    </w:p>
    <w:p>
      <w:r>
        <w:t>Abstract The increasing incorporation of Artificial Intelligence (AI) tools in education urges researchers to examine their efficiency in Foreign Language (FL) learning and teaching. Large Language Models (LLMs) such as ChatGPT are becoming inevitable in promoting English as a Foreign Language (EFL). However, concerns have been raised about overreliance on LLMs, which may hinder learners’ Critical Thinking (CT) abilities. This study explores the use of ChatGPT to develop students’ capacity for critically engaging with LLM-generated content and assessing their abilities in reflective learning, fact-checking, logical reasoning, and bias detection. Using convergent parallel mixed methods, including quantitative rubric-based assessment and qualitative response analysis, students’ interactions with the LLM are evaluated based on Paul and Elder’s (2013. Critical thinking : Intellectual standards essential to reasoning well within every domain of human thought. Journal of Developmental Education 37(1). 32–33) CT nine intellectual standards: clarity, accuracy, precision, relevance, significance, depth, breadth, logic, and fairness. Findings reveal that while advanced students critically reflect on AI responses, lower-proficient learners often adopt them uncritically, highlighting a gap in fact-checking and AI literacy. Many students also struggle to detect inconsistencies or bias, underscoring the need for explicit instruction on AI ethics and limitations. The study concludes that AI is useful for language learning, but its effectiveness depends on learners’ ability to critically evaluate and refine its outputs.</w:t>
      </w:r>
    </w:p>
    <w:p>
      <w:pPr>
        <w:pStyle w:val="Heading3"/>
      </w:pPr>
      <w:r>
        <w:t>研究主要内容</w:t>
      </w:r>
    </w:p>
    <w:p>
      <w:r>
        <w:t>本研究聚焦于AI工具（尤其是ChatGPT）在EFL教学中的应用，探讨如何利用ChatGPT培养学生批判性评估LLM生成内容的能力，包括反思学习、事实核查、逻辑推理和偏见检测。研究采用收敛并行混合方法，定量部分基于Paul和Elder的九项智力标准进行评分量表评估，定性部分对学生的回应进行内容分析。结果显示，高水平学生能批判性反思AI回应，而低水平学生往往不加批判地接受，且在事实核查和AI素养上存在显著差距；许多学生难以识别不一致或偏见，需要明确的AI伦理与局限性教学。研究结论强调AI对语言学习有用，但其效果取决于学生批判性评估和完善输出内容的能力。</w:t>
      </w:r>
    </w:p>
    <w:p>
      <w:pPr>
        <w:pStyle w:val="Heading3"/>
      </w:pPr>
      <w:r>
        <w:t>研究论点</w:t>
      </w:r>
    </w:p>
    <w:p>
      <w:r>
        <w:t>AI在语言学习中有效，但其效果取决于学生批判性评估和完善AI输出的能力，而非被动接受。</w:t>
      </w:r>
    </w:p>
    <w:p>
      <w:pPr>
        <w:pStyle w:val="Heading3"/>
      </w:pPr>
      <w:r>
        <w:t>研究问题</w:t>
      </w:r>
    </w:p>
    <w:p>
      <w:r>
        <w:t>摘要未明确说明，主要探讨如何通过ChatGPT培养EFL学生批判性评估LLM生成内容的能力，以及学生在反思学习、事实核查、逻辑推理和偏见检测方面的表现。</w:t>
      </w:r>
    </w:p>
    <w:p>
      <w:pPr>
        <w:pStyle w:val="Heading3"/>
      </w:pPr>
      <w:r>
        <w:t>研究方法</w:t>
      </w:r>
    </w:p>
    <w:p>
      <w:r>
        <w:t>研究类型：混合方法（收敛并行设计）。样本/参与者：摘要未说明。数据来源：学生与ChatGPT的互动回应。分析方法：定量部分采用基于Paul和Elder九项智力标准（清晰性、准确性、精确性、相关性、重要性、深度、广度、逻辑性、公平性）的评分量表评估；定性部分对学生的回应进行内容分析。</w:t>
      </w:r>
    </w:p>
    <w:p>
      <w:pPr>
        <w:pStyle w:val="Heading3"/>
      </w:pPr>
      <w:r>
        <w:t>主要发现</w:t>
      </w:r>
    </w:p>
    <w:p>
      <w:r>
        <w:t>['高水平学生能批判性反思AI回应，而低水平学生往往不加批判地接受ChatGPT生成的内容，凸显在事实核查和AI素养方面的差距。', '许多学生难以检测AI回应中的不一致或偏见，表明需要明确教导AI伦理和局限性。', 'AI在EFL学习中有用，但其有效性取决于学生批判性评估和完善AI输出的能力。']</w:t>
      </w:r>
    </w:p>
    <w:p>
      <w:pPr>
        <w:pStyle w:val="Heading3"/>
      </w:pPr>
      <w:r>
        <w:t>对教师教育研究的启示</w:t>
      </w:r>
    </w:p>
    <w:p>
      <w:r>
        <w:t>本研究采用的收敛并行混合方法为教师教育研究评估学生与AI互动能力提供了可复用的设计范式：定量评分量表可改编为教师培训中评估学生批判性思维的工具；定性内容分析有助于深入理解学生认知过程。研究结果强调在教师教育课程中系统融入AI伦理、批判性思维和AI素养教学的必要性，以培养学生审慎使用AI工具的能力。</w:t>
      </w:r>
    </w:p>
    <w:p>
      <w:pPr>
        <w:pStyle w:val="Heading3"/>
      </w:pPr>
      <w:r>
        <w:t>APA引用格式</w:t>
      </w:r>
    </w:p>
    <w:p>
      <w:r>
        <w:t>Bengrait, N. (2025). Beyond LLM output: how critical thinking shapes EFL students’ interaction with ChatGPT generated content. Applied Linguistics Review. https://doi.org/10.1515/applirev-2025-0254</w:t>
      </w:r>
    </w:p>
    <w:p>
      <w:r>
        <w:br w:type="page"/>
      </w:r>
    </w:p>
    <w:p>
      <w:pPr>
        <w:pStyle w:val="Heading2"/>
      </w:pPr>
      <w:r>
        <w:t>5. Using dynamic feedback from customized LLM-powered chatbots in EFL argumentative writing / 使用定制LLM聊天机器人的动态反馈在EFL议论文写作中的应用</w:t>
      </w:r>
    </w:p>
    <w:tbl>
      <w:tblPr>
        <w:tblStyle w:val="LightList-Accent1"/>
        <w:tblW w:type="auto" w:w="0"/>
        <w:tblLook w:firstColumn="1" w:firstRow="1" w:lastColumn="0" w:lastRow="0" w:noHBand="0" w:noVBand="1" w:val="04A0"/>
      </w:tblPr>
      <w:tblGrid>
        <w:gridCol w:w="4997"/>
        <w:gridCol w:w="4997"/>
      </w:tblGrid>
      <w:tr>
        <w:tc>
          <w:tcPr>
            <w:tcW w:type="dxa" w:w="4997"/>
          </w:tcPr>
          <w:p>
            <w:r>
              <w:rPr>
                <w:b/>
              </w:rPr>
              <w:t>标题</w:t>
            </w:r>
          </w:p>
        </w:tc>
        <w:tc>
          <w:tcPr>
            <w:tcW w:type="dxa" w:w="4997"/>
          </w:tcPr>
          <w:p>
            <w:r>
              <w:t>Using dynamic feedback from customized LLM-powered chatbots in EFL argumentative writing / 使用定制LLM聊天机器人的动态反馈在EFL议论文写作中的应用</w:t>
            </w:r>
          </w:p>
        </w:tc>
      </w:tr>
      <w:tr>
        <w:tc>
          <w:tcPr>
            <w:tcW w:type="dxa" w:w="4997"/>
          </w:tcPr>
          <w:p>
            <w:r>
              <w:rPr>
                <w:b/>
              </w:rPr>
              <w:t>作者</w:t>
            </w:r>
          </w:p>
        </w:tc>
        <w:tc>
          <w:tcPr>
            <w:tcW w:type="dxa" w:w="4997"/>
          </w:tcPr>
          <w:p>
            <w:r>
              <w:t>Yi Chen</w:t>
            </w:r>
          </w:p>
        </w:tc>
      </w:tr>
      <w:tr>
        <w:tc>
          <w:tcPr>
            <w:tcW w:type="dxa" w:w="4997"/>
          </w:tcPr>
          <w:p>
            <w:r>
              <w:rPr>
                <w:b/>
              </w:rPr>
              <w:t>期刊及影响因子</w:t>
            </w:r>
          </w:p>
        </w:tc>
        <w:tc>
          <w:tcPr>
            <w:tcW w:type="dxa" w:w="4997"/>
          </w:tcPr>
          <w:p>
            <w:r>
              <w:t>未提供</w:t>
            </w:r>
          </w:p>
        </w:tc>
      </w:tr>
      <w:tr>
        <w:tc>
          <w:tcPr>
            <w:tcW w:type="dxa" w:w="4997"/>
          </w:tcPr>
          <w:p>
            <w:r>
              <w:rPr>
                <w:b/>
              </w:rPr>
              <w:t>JIF/影响因子</w:t>
            </w:r>
          </w:p>
        </w:tc>
        <w:tc>
          <w:tcPr>
            <w:tcW w:type="dxa" w:w="4997"/>
          </w:tcPr>
          <w:p>
            <w:r>
              <w:t>白名单未提供</w:t>
            </w:r>
          </w:p>
        </w:tc>
      </w:tr>
      <w:tr>
        <w:tc>
          <w:tcPr>
            <w:tcW w:type="dxa" w:w="4997"/>
          </w:tcPr>
          <w:p>
            <w:r>
              <w:rPr>
                <w:b/>
              </w:rPr>
              <w:t>JCR分区</w:t>
            </w:r>
          </w:p>
        </w:tc>
        <w:tc>
          <w:tcPr>
            <w:tcW w:type="dxa" w:w="4997"/>
          </w:tcPr>
          <w:p>
            <w:r>
              <w:t>白名单未提供</w:t>
            </w:r>
          </w:p>
        </w:tc>
      </w:tr>
      <w:tr>
        <w:tc>
          <w:tcPr>
            <w:tcW w:type="dxa" w:w="4997"/>
          </w:tcPr>
          <w:p>
            <w:r>
              <w:rPr>
                <w:b/>
              </w:rPr>
              <w:t>CiteScore</w:t>
            </w:r>
          </w:p>
        </w:tc>
        <w:tc>
          <w:tcPr>
            <w:tcW w:type="dxa" w:w="4997"/>
          </w:tcPr>
          <w:p>
            <w:r>
              <w:t>白名单未提供</w:t>
            </w:r>
          </w:p>
        </w:tc>
      </w:tr>
      <w:tr>
        <w:tc>
          <w:tcPr>
            <w:tcW w:type="dxa" w:w="4997"/>
          </w:tcPr>
          <w:p>
            <w:r>
              <w:rPr>
                <w:b/>
              </w:rPr>
              <w:t>出版社</w:t>
            </w:r>
          </w:p>
        </w:tc>
        <w:tc>
          <w:tcPr>
            <w:tcW w:type="dxa" w:w="4997"/>
          </w:tcPr>
          <w:p>
            <w:r>
              <w:t>SAGE PUBLICATIONS LTD</w:t>
            </w:r>
          </w:p>
        </w:tc>
      </w:tr>
      <w:tr>
        <w:tc>
          <w:tcPr>
            <w:tcW w:type="dxa" w:w="4997"/>
          </w:tcPr>
          <w:p>
            <w:r>
              <w:rPr>
                <w:b/>
              </w:rPr>
              <w:t>卷期/DOI</w:t>
            </w:r>
          </w:p>
        </w:tc>
        <w:tc>
          <w:tcPr>
            <w:tcW w:type="dxa" w:w="4997"/>
          </w:tcPr>
          <w:p>
            <w:r>
              <w:t>https://doi.org/10.1177/00336882261467062</w:t>
            </w:r>
          </w:p>
        </w:tc>
      </w:tr>
      <w:tr>
        <w:tc>
          <w:tcPr>
            <w:tcW w:type="dxa" w:w="4997"/>
          </w:tcPr>
          <w:p>
            <w:r>
              <w:rPr>
                <w:b/>
              </w:rPr>
              <w:t>在线发表时间</w:t>
            </w:r>
          </w:p>
        </w:tc>
        <w:tc>
          <w:tcPr>
            <w:tcW w:type="dxa" w:w="4997"/>
          </w:tcPr>
          <w:p>
            <w:r>
              <w:t>2026-07-09</w:t>
            </w:r>
          </w:p>
        </w:tc>
      </w:tr>
      <w:tr>
        <w:tc>
          <w:tcPr>
            <w:tcW w:type="dxa" w:w="4997"/>
          </w:tcPr>
          <w:p>
            <w:r>
              <w:rPr>
                <w:b/>
              </w:rPr>
              <w:t>SSCI分类</w:t>
            </w:r>
          </w:p>
        </w:tc>
        <w:tc>
          <w:tcPr>
            <w:tcW w:type="dxa" w:w="4997"/>
          </w:tcPr>
          <w:p>
            <w:r>
              <w:t>English；Linguistics</w:t>
            </w:r>
          </w:p>
        </w:tc>
      </w:tr>
      <w:tr>
        <w:tc>
          <w:tcPr>
            <w:tcW w:type="dxa" w:w="4997"/>
          </w:tcPr>
          <w:p>
            <w:r>
              <w:rPr>
                <w:b/>
              </w:rPr>
              <w:t>论文链接</w:t>
            </w:r>
          </w:p>
        </w:tc>
        <w:tc>
          <w:tcPr>
            <w:tcW w:type="dxa" w:w="4997"/>
          </w:tcPr>
          <w:p>
            <w:hyperlink r:id="rId13">
              <w:r>
                <w:rPr>
                  <w:color w:val="0563C1"/>
                  <w:u w:val="single"/>
                </w:rPr>
                <w:t>https://doi.org/10.1177/00336882261467062</w:t>
              </w:r>
            </w:hyperlink>
          </w:p>
        </w:tc>
      </w:tr>
    </w:tbl>
    <w:p>
      <w:pPr>
        <w:pStyle w:val="Heading3"/>
      </w:pPr>
      <w:r>
        <w:t>研究摘要</w:t>
      </w:r>
    </w:p>
    <w:p>
      <w:r>
        <w:t>With the growing use of large language models (LLMs) in English as a foreign language (EFL) teaching, balancing teacher control over instructional focus with students’ autonomy in using artificial intelligence chatbots while ensuring more dynamic interaction have become key pedagogical concerns. This article reports on an innovative teaching practice implemented in a foundation undergraduate English for Academic Purposes course, which featured interactive feedback, including chatbot-mediated dynamic assessment, delivered through two custom-built LLM-powered chatbots. The intervention aimed to support students’ argumentative writing with specific reference to argumentation quality and linguistic accuracy, through an iterative multi-draft process. Drawing on observation and critical reflection on this practicum, the article argues that customized LLM-powered chatbots can provide dynamic, instruction-aligned feedback at scale to scaffold EFL learners’ writing process, while instructors remain essential in the loop to address the limitations of automated feedback. The article concludes with suggestions for refining this approach in future practice.</w:t>
      </w:r>
    </w:p>
    <w:p>
      <w:pPr>
        <w:pStyle w:val="Heading3"/>
      </w:pPr>
      <w:r>
        <w:t>研究主要内容</w:t>
      </w:r>
    </w:p>
    <w:p>
      <w:r>
        <w:t>本文报告了一项在本科英语学术写作基础课程中开展的创新教学实践，使用两个定制的大型语言模型（LLM）聊天机器人提供互动反馈（包括聊天机器人介导的动态评估），通过迭代多稿流程支持学生的议论文写作，重点提升论证质量和语言准确性。基于对实践的观察与批判性反思，文章探讨了如何平衡教师对教学焦点的控制与学生使用AI聊天机器人的自主性。</w:t>
      </w:r>
    </w:p>
    <w:p>
      <w:pPr>
        <w:pStyle w:val="Heading3"/>
      </w:pPr>
      <w:r>
        <w:t>研究论点</w:t>
      </w:r>
    </w:p>
    <w:p>
      <w:r>
        <w:t>定制LLM聊天机器人能够大规模提供动态的、与教学一致的反馈，以脚手架方式支持EFL学习者的写作过程；同时，教师必须在反馈循环中保持参与，以弥补自动化反馈的局限性。</w:t>
      </w:r>
    </w:p>
    <w:p>
      <w:pPr>
        <w:pStyle w:val="Heading3"/>
      </w:pPr>
      <w:r>
        <w:t>研究问题</w:t>
      </w:r>
    </w:p>
    <w:p>
      <w:r>
        <w:t>摘要未明确说明</w:t>
      </w:r>
    </w:p>
    <w:p>
      <w:pPr>
        <w:pStyle w:val="Heading3"/>
      </w:pPr>
      <w:r>
        <w:t>研究方法</w:t>
      </w:r>
    </w:p>
    <w:p>
      <w:r>
        <w:t>{'research_type': '定性研究（教学实践报告与反思）', 'sample': '大学预科英语学术写作课程中的本科生（具体人数未说明）', 'data_source': '教学实践中的观察和批判性反思', 'analysis_method': '定性反思性分析（主题归纳）'}</w:t>
      </w:r>
    </w:p>
    <w:p>
      <w:pPr>
        <w:pStyle w:val="Heading3"/>
      </w:pPr>
      <w:r>
        <w:t>主要发现</w:t>
      </w:r>
    </w:p>
    <w:p>
      <w:r>
        <w:t>['定制LLM聊天机器人能够根据教学重点提供动态、个性化的反馈，实现规模化支持，帮助学生完成多稿修改。', '教师在反馈循环中扮演关键角色，能够识别并弥补自动化反馈在复杂论证评价上的不足，确保反馈质量。', '通过迭代多稿过程，学生表现出更高的写作自主性和反思能力，但其效果依赖于教师与AI的协同设计。']</w:t>
      </w:r>
    </w:p>
    <w:p>
      <w:pPr>
        <w:pStyle w:val="Heading3"/>
      </w:pPr>
      <w:r>
        <w:t>对教师教育研究的启示</w:t>
      </w:r>
    </w:p>
    <w:p>
      <w:r>
        <w:t>该研究为教师教育提供了以下启示：1）探索AI与教师角色协同的课堂实践模式，设计教师有效参与AI反馈循环的策略；2）开发教师AI素养培训课程，使教师具备评估和优化AI反馈的能力；3）采用混合研究方法（如结合观察、访谈与写作成绩分析）深入考察AI支持下教学变革的过程与效果；4）关注不同教育阶段（如基础教育）中类似干预的适配性，为教师设计数据驱动的教学干预提供参考。</w:t>
      </w:r>
    </w:p>
    <w:p>
      <w:pPr>
        <w:pStyle w:val="Heading3"/>
      </w:pPr>
      <w:r>
        <w:t>APA引用格式</w:t>
      </w:r>
    </w:p>
    <w:p>
      <w:r>
        <w:t>Chen, Y. (2026). Using dynamic feedback from customized LLM-powered chatbots in EFL argumentative writing. RELC Journal. https://doi.org/10.1177/00336882261467062</w:t>
      </w:r>
    </w:p>
    <w:p>
      <w:pPr>
        <w:pStyle w:val="Heading1"/>
      </w:pPr>
      <w:r>
        <w:t>运行统计</w:t>
      </w:r>
    </w:p>
    <w:tbl>
      <w:tblPr>
        <w:tblStyle w:val="LightShading-Accent1"/>
        <w:tblW w:type="auto" w:w="0"/>
        <w:tblLook w:firstColumn="1" w:firstRow="1" w:lastColumn="0" w:lastRow="0" w:noHBand="0" w:noVBand="1" w:val="04A0"/>
      </w:tblPr>
      <w:tblGrid>
        <w:gridCol w:w="4997"/>
        <w:gridCol w:w="4997"/>
      </w:tblGrid>
      <w:tr>
        <w:tc>
          <w:tcPr>
            <w:tcW w:type="dxa" w:w="4997"/>
          </w:tcPr>
          <w:p>
            <w:r>
              <w:rPr>
                <w:b/>
              </w:rPr>
              <w:t>检索数量</w:t>
            </w:r>
          </w:p>
        </w:tc>
        <w:tc>
          <w:tcPr>
            <w:tcW w:type="dxa" w:w="4997"/>
          </w:tcPr>
          <w:p>
            <w:r>
              <w:t>750</w:t>
            </w:r>
          </w:p>
        </w:tc>
      </w:tr>
      <w:tr>
        <w:tc>
          <w:tcPr>
            <w:tcW w:type="dxa" w:w="4997"/>
          </w:tcPr>
          <w:p>
            <w:r>
              <w:rPr>
                <w:b/>
              </w:rPr>
              <w:t>筛选数量</w:t>
            </w:r>
          </w:p>
        </w:tc>
        <w:tc>
          <w:tcPr>
            <w:tcW w:type="dxa" w:w="4997"/>
          </w:tcPr>
          <w:p>
            <w:r>
              <w:t>5</w:t>
            </w:r>
          </w:p>
        </w:tc>
      </w:tr>
      <w:tr>
        <w:tc>
          <w:tcPr>
            <w:tcW w:type="dxa" w:w="4997"/>
          </w:tcPr>
          <w:p>
            <w:r>
              <w:rPr>
                <w:b/>
              </w:rPr>
              <w:t>AI成功数量</w:t>
            </w:r>
          </w:p>
        </w:tc>
        <w:tc>
          <w:tcPr>
            <w:tcW w:type="dxa" w:w="4997"/>
          </w:tcPr>
          <w:p>
            <w:r>
              <w:t>5</w:t>
            </w:r>
          </w:p>
        </w:tc>
      </w:tr>
      <w:tr>
        <w:tc>
          <w:tcPr>
            <w:tcW w:type="dxa" w:w="4997"/>
          </w:tcPr>
          <w:p>
            <w:r>
              <w:rPr>
                <w:b/>
              </w:rPr>
              <w:t>失败数量</w:t>
            </w:r>
          </w:p>
        </w:tc>
        <w:tc>
          <w:tcPr>
            <w:tcW w:type="dxa" w:w="4997"/>
          </w:tcPr>
          <w:p>
            <w:r>
              <w:t>0</w:t>
            </w:r>
          </w:p>
        </w:tc>
      </w:tr>
      <w:tr>
        <w:tc>
          <w:tcPr>
            <w:tcW w:type="dxa" w:w="4997"/>
          </w:tcPr>
          <w:p>
            <w:r>
              <w:rPr>
                <w:b/>
              </w:rPr>
              <w:t>API耗时</w:t>
            </w:r>
          </w:p>
        </w:tc>
        <w:tc>
          <w:tcPr>
            <w:tcW w:type="dxa" w:w="4997"/>
          </w:tcPr>
          <w:p>
            <w:r>
              <w:t>77.41 秒</w:t>
            </w:r>
          </w:p>
        </w:tc>
      </w:tr>
    </w:tbl>
    <w:sectPr w:rsidR="00FC693F" w:rsidRPr="0006063C" w:rsidSect="00034616">
      <w:pgSz w:w="12240" w:h="15840"/>
      <w:pgMar w:top="1037" w:right="1123" w:bottom="1037"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120"/>
    </w:pPr>
    <w:rPr>
      <w:rFonts w:ascii="Microsoft YaHei" w:hAnsi="Microsoft YaHei" w:eastAsia="Microsoft YaHe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Microsoft YaHei" w:hAnsi="Microsoft YaHei" w:eastAsia="Microsoft YaHei"/>
      <w:b/>
      <w:bCs/>
      <w:color w:val="1F5496"/>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Microsoft YaHei" w:hAnsi="Microsoft YaHei" w:eastAsia="Microsoft YaHei"/>
      <w:b/>
      <w:bCs/>
      <w:color w:val="2F5D9A"/>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Microsoft YaHei" w:hAnsi="Microsoft YaHei" w:eastAsia="Microsoft YaHei"/>
      <w:b/>
      <w:bCs/>
      <w:color w:val="27497D"/>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Microsoft YaHei" w:hAnsi="Microsoft YaHei" w:eastAsia="Microsoft YaHei"/>
      <w:color w:val="1F5496"/>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doi.org/10.1007/s10798-026-10104-8" TargetMode="External"/><Relationship Id="rId10" Type="http://schemas.openxmlformats.org/officeDocument/2006/relationships/hyperlink" Target="https://doi.org/10.59455/qietp.59" TargetMode="External"/><Relationship Id="rId11" Type="http://schemas.openxmlformats.org/officeDocument/2006/relationships/hyperlink" Target="https://doi.org/10.1080/1475939x.2026.2695865" TargetMode="External"/><Relationship Id="rId12" Type="http://schemas.openxmlformats.org/officeDocument/2006/relationships/hyperlink" Target="https://doi.org/10.1515/applirev-2025-0254" TargetMode="External"/><Relationship Id="rId13" Type="http://schemas.openxmlformats.org/officeDocument/2006/relationships/hyperlink" Target="https://doi.org/10.1177/0033688226146706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