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每日SSCI文献简报｜2026-09-15</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2026-09-15 10:13:09（北京时间）</w:t>
            </w:r>
          </w:p>
        </w:tc>
      </w:tr>
      <w:tr>
        <w:tc>
          <w:tcPr>
            <w:tcW w:type="dxa" w:w="4997"/>
          </w:tcPr>
          <w:p>
            <w:r>
              <w:rPr>
                <w:b/>
              </w:rPr>
              <w:t>检索窗口</w:t>
            </w:r>
          </w:p>
        </w:tc>
        <w:tc>
          <w:tcPr>
            <w:tcW w:type="dxa" w:w="4997"/>
          </w:tcPr>
          <w:p>
            <w:r>
              <w:t>2023-09-16 — 2026-09-15</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今日文献聚焦AI赋能与实证检验：特殊教育AI干预、LLM知识图谱、AI反馈与透明度机制并进；方法上实验、问卷与计算建模融合。中国语境下，AI治理、伦理文化与反馈机制受关注，教育因果证据仍待加强。</w:t>
      </w:r>
    </w:p>
    <w:p>
      <w:pPr>
        <w:pStyle w:val="Heading1"/>
      </w:pPr>
      <w:r>
        <w:t>目录</w:t>
      </w:r>
    </w:p>
    <w:p>
      <w:pPr>
        <w:pStyle w:val="ListNumber"/>
      </w:pPr>
      <w:r>
        <w:rPr>
          <w:b/>
        </w:rPr>
        <w:t>轻度自闭症学生AI辅助分数教学的课堂实施</w:t>
      </w:r>
      <w:r>
        <w:t>｜Journal of Computer Assisted Learning｜2026-09-13</w:t>
      </w:r>
    </w:p>
    <w:p>
      <w:pPr>
        <w:pStyle w:val="ListNumber"/>
      </w:pPr>
      <w:r>
        <w:rPr>
          <w:b/>
        </w:rPr>
        <w:t>基于大语言模型驱动的清雍正朝皇家器物生产知识图谱构建</w:t>
      </w:r>
      <w:r>
        <w:t>｜Humanities and Social Sciences Communications｜2026-09-12</w:t>
      </w:r>
    </w:p>
    <w:p>
      <w:pPr>
        <w:pStyle w:val="ListNumber"/>
      </w:pPr>
      <w:r>
        <w:rPr>
          <w:b/>
        </w:rPr>
        <w:t>公民教育是否影响小学生的公民素养结果？来自利比里亚的实验证据</w:t>
      </w:r>
      <w:r>
        <w:t>｜Educational Evaluation and Policy Analysis｜2026-09-12</w:t>
      </w:r>
    </w:p>
    <w:p>
      <w:pPr>
        <w:pStyle w:val="ListNumber"/>
      </w:pPr>
      <w:r>
        <w:rPr>
          <w:b/>
        </w:rPr>
        <w:t>AI绩效反馈对员工创造力的双刃剑影响研究</w:t>
      </w:r>
      <w:r>
        <w:t>｜Baltic Journal of Management｜2026-09-15</w:t>
      </w:r>
    </w:p>
    <w:p>
      <w:pPr>
        <w:pStyle w:val="ListNumber"/>
      </w:pPr>
      <w:r>
        <w:rPr>
          <w:b/>
        </w:rPr>
        <w:t>AI透明度与客户服务中的偏见缓解：伦理文化如何塑造客户信任</w:t>
      </w:r>
      <w:r>
        <w:t>｜International Journal of Ethics and Systems｜2026-09-15</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Classroom Implementation of AI ‐Assisted Fraction Instruction for Students With Mild Autism / 轻度自闭症学生AI辅助分数教学的课堂实施</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Classroom Implementation of AI ‐Assisted Fraction Instruction for Students With Mild Autism / 轻度自闭症学生AI辅助分数教学的课堂实施</w:t>
            </w:r>
          </w:p>
        </w:tc>
      </w:tr>
      <w:tr>
        <w:tc>
          <w:tcPr>
            <w:tcW w:type="dxa" w:w="4997"/>
          </w:tcPr>
          <w:p>
            <w:r>
              <w:rPr>
                <w:b/>
              </w:rPr>
              <w:t>作者</w:t>
            </w:r>
          </w:p>
        </w:tc>
        <w:tc>
          <w:tcPr>
            <w:tcW w:type="dxa" w:w="4997"/>
          </w:tcPr>
          <w:p>
            <w:r>
              <w:t>Georgios Polydoros, Alexandros Antoniou</w:t>
            </w:r>
          </w:p>
        </w:tc>
      </w:tr>
      <w:tr>
        <w:tc>
          <w:tcPr>
            <w:tcW w:type="dxa" w:w="4997"/>
          </w:tcPr>
          <w:p>
            <w:r>
              <w:rPr>
                <w:b/>
              </w:rPr>
              <w:t>期刊及影响因子</w:t>
            </w:r>
          </w:p>
        </w:tc>
        <w:tc>
          <w:tcPr>
            <w:tcW w:type="dxa" w:w="4997"/>
          </w:tcPr>
          <w:p>
            <w:r>
              <w:t>期刊：Journal of Computer Assisted Learning；SSCI分类：Education &amp; Educational Research, English；影响因子/分区：白名单未提供影响因子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WILEY</w:t>
            </w:r>
          </w:p>
        </w:tc>
      </w:tr>
      <w:tr>
        <w:tc>
          <w:tcPr>
            <w:tcW w:type="dxa" w:w="4997"/>
          </w:tcPr>
          <w:p>
            <w:r>
              <w:rPr>
                <w:b/>
              </w:rPr>
              <w:t>卷期/DOI</w:t>
            </w:r>
          </w:p>
        </w:tc>
        <w:tc>
          <w:tcPr>
            <w:tcW w:type="dxa" w:w="4997"/>
          </w:tcPr>
          <w:p>
            <w:r>
              <w:t>卷期：摘要未说明；DOI：https://doi.org/10.1002/jcal.70333</w:t>
            </w:r>
          </w:p>
        </w:tc>
      </w:tr>
      <w:tr>
        <w:tc>
          <w:tcPr>
            <w:tcW w:type="dxa" w:w="4997"/>
          </w:tcPr>
          <w:p>
            <w:r>
              <w:rPr>
                <w:b/>
              </w:rPr>
              <w:t>在线发表时间</w:t>
            </w:r>
          </w:p>
        </w:tc>
        <w:tc>
          <w:tcPr>
            <w:tcW w:type="dxa" w:w="4997"/>
          </w:tcPr>
          <w:p>
            <w:r>
              <w:t>2026-09-13</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9">
              <w:r>
                <w:rPr>
                  <w:color w:val="0563C1"/>
                  <w:u w:val="single"/>
                </w:rPr>
                <w:t>https://doi.org/10.1002/jcal.70333</w:t>
              </w:r>
            </w:hyperlink>
          </w:p>
        </w:tc>
      </w:tr>
    </w:tbl>
    <w:p>
      <w:pPr>
        <w:pStyle w:val="Heading3"/>
      </w:pPr>
      <w:r>
        <w:t>研究摘要</w:t>
      </w:r>
    </w:p>
    <w:p>
      <w:r>
        <w:t>背景：分数学习对自闭症谱系障碍（ASD）学生构成挑战，因为需要协调部分-整体推理、符号-数量映射和比例思维。目的：考察轻度ASD六年级学生参与AI辅助分数教学期间的前后测变化与课堂可行性。方法：12周课堂嵌入式单组前后测实施研究（n=33），使用AI Lobe课程，整合虚拟教具、交互式数轴任务和支架式反馈；AI Lobe为受限的、基于规则的自适应学习环境，依据学生反应数据安排任务序列、难度递进和反馈选择，并非自主生成式AI导师。前后测评估概念理解，分析强调分布变化和稳健非参数推断。结果：大多数学生后测分数高于前测（中位数增益=14.5，IQR=6.2–22.1；p&lt;0.001）；实施保真度达到先验阈值（观察课中核心要素≥80%），多数学生完成24–30课；等价、比较和数轴子量表均呈正向前后变化，经Holm-Bonferroni校正后仍显著。结论：教师中介、多表征项目在主流课堂中看似可行，学生在教学期间表现出显著前后变化；但因无对照组且评估形式与测量时点混淆，结果仅为可行性与时间关联的初步证据，而非因果有效性。</w:t>
      </w:r>
    </w:p>
    <w:p>
      <w:pPr>
        <w:pStyle w:val="Heading3"/>
      </w:pPr>
      <w:r>
        <w:t>研究主要内容</w:t>
      </w:r>
    </w:p>
    <w:p>
      <w:r>
        <w:t>论文探讨AI辅助分数教学在轻度自闭症六年级学生主流课堂中的实施。干预为12周AI Lobe课程，整合虚拟教具、交互式数轴任务和支架式反馈；AI Lobe是受限的、规则型自适应学习环境，不是自主生成式AI导师。研究考察前后测概念理解变化、课堂可行性与实施保真度，并讨论无对照组和评估形式混淆带来的因果限制。</w:t>
      </w:r>
    </w:p>
    <w:p>
      <w:pPr>
        <w:pStyle w:val="Heading3"/>
      </w:pPr>
      <w:r>
        <w:t>研究论点</w:t>
      </w:r>
    </w:p>
    <w:p>
      <w:r>
        <w:t>核心论点是：教师中介、多表征的AI辅助分数教学在主流课堂中对轻度自闭症六年级学生具有初步可行性和时间关联上的正向变化；但因无对照组且评估形式与测量时点混淆，不能据此推断因果有效性。</w:t>
      </w:r>
    </w:p>
    <w:p>
      <w:pPr>
        <w:pStyle w:val="Heading3"/>
      </w:pPr>
      <w:r>
        <w:t>研究问题</w:t>
      </w:r>
    </w:p>
    <w:p>
      <w:r>
        <w:t>研究问题可概括为：轻度自闭症六年级学生参与AI辅助分数教学期间，前后测概念理解变化如何？该教学在主流课堂中的实施可行性如何？</w:t>
      </w:r>
    </w:p>
    <w:p>
      <w:pPr>
        <w:pStyle w:val="Heading3"/>
      </w:pPr>
      <w:r>
        <w:t>研究方法</w:t>
      </w:r>
    </w:p>
    <w:p>
      <w:r>
        <w:t>定量研究，采用课堂嵌入式单组前后测实施研究设计。参与者为33名六年级轻度自闭症学生（FSIQ ≥85）。干预为12周AI Lobe分数教学，整合虚拟教具、交互式数轴任务和支架式反馈；AI Lobe为受限的规则型自适应学习环境，依据学生反应数据调整任务序列、难度递进和反馈选择，并非自主生成式AI导师。数据来源包括前后测概念理解评估、课堂实施保真度观察、课程完成情况；摘要未说明具体抽样方式、评估工具心理测量属性、缺失数据处理及是否设盲。分析方法强调分布变化与稳健非参数推断，报告前后测中位数增益、IQR、p值，并对子量表结果进行Holm-Bonferroni校正；无对照组，评估形式与测量时点混淆。</w:t>
      </w:r>
    </w:p>
    <w:p>
      <w:pPr>
        <w:pStyle w:val="Heading3"/>
      </w:pPr>
      <w:r>
        <w:t>主要发现</w:t>
      </w:r>
    </w:p>
    <w:p>
      <w:r>
        <w:t>1）大多数学生后测分数高于前测，中位数增益为14.5（IQR=6.2–22.1，p&lt;0.001），视觉摘要显示正向变化分布较广。2）实施保真度达到先验阈值（观察课中核心要素≥80%），多数学生完成24–30课。3）在等价、比较和数轴子量表上均观察到正向前后变化，经Holm-Bonferroni校正后仍显著。</w:t>
      </w:r>
    </w:p>
    <w:p>
      <w:pPr>
        <w:pStyle w:val="Heading3"/>
      </w:pPr>
      <w:r>
        <w:t>对教师教育研究的启示</w:t>
      </w:r>
    </w:p>
    <w:p>
      <w:r>
        <w:t>对教师教育研究的前沿主题而言，该文提示关注AI/计算机辅助教学在小学数学与特殊教育融合场景中的教师中介作用，以及规则型自适应系统、虚拟教具、数轴任务和支架反馈的课堂实施。研究设计上，可借鉴课堂嵌入式单组前后测实施研究，但应升级为有对照组或等待控制组的设计，使用等值/平衡的评估形式，并加入保持与迁移测量及功效充足的调节分析。数据收集可结合前后测概念理解、课堂保真度观察、课程完成日志和平台响应数据；分析方法可继续采用稳健非参数推断和分布变化指标，并扩展效应量、多层模型与调节分析。教师培训可关注如何为轻度自闭症学生实施多表征AI辅助分数教学，并提升教师对AI工具边界、实施保真度和评估限制的理解。</w:t>
      </w:r>
    </w:p>
    <w:p>
      <w:pPr>
        <w:pStyle w:val="Heading3"/>
      </w:pPr>
      <w:r>
        <w:t>APA引用格式</w:t>
      </w:r>
    </w:p>
    <w:p>
      <w:r>
        <w:t>Polydoros, G., &amp; Antoniou, A. (2026). Classroom implementation of AI-assisted fraction instruction for students with mild autism. Journal of Computer Assisted Learning. https://doi.org/10.1002/jcal.70333</w:t>
      </w:r>
    </w:p>
    <w:p>
      <w:r>
        <w:br w:type="page"/>
      </w:r>
    </w:p>
    <w:p>
      <w:pPr>
        <w:pStyle w:val="Heading2"/>
      </w:pPr>
      <w:r>
        <w:t>2. Large Language Model-driven knowledge graph construction for Qing Yongzheng imperial artifact production / 基于大语言模型驱动的清雍正朝皇家器物生产知识图谱构建</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Large Language Model-driven knowledge graph construction for Qing Yongzheng imperial artifact production / 基于大语言模型驱动的清雍正朝皇家器物生产知识图谱构建</w:t>
            </w:r>
          </w:p>
        </w:tc>
      </w:tr>
      <w:tr>
        <w:tc>
          <w:tcPr>
            <w:tcW w:type="dxa" w:w="4997"/>
          </w:tcPr>
          <w:p>
            <w:r>
              <w:rPr>
                <w:b/>
              </w:rPr>
              <w:t>作者</w:t>
            </w:r>
          </w:p>
        </w:tc>
        <w:tc>
          <w:tcPr>
            <w:tcW w:type="dxa" w:w="4997"/>
          </w:tcPr>
          <w:p>
            <w:r>
              <w:t>An Sui, Yongsheng Tong, Ning Gao</w:t>
            </w:r>
          </w:p>
        </w:tc>
      </w:tr>
      <w:tr>
        <w:tc>
          <w:tcPr>
            <w:tcW w:type="dxa" w:w="4997"/>
          </w:tcPr>
          <w:p>
            <w:r>
              <w:rPr>
                <w:b/>
              </w:rPr>
              <w:t>期刊及影响因子</w:t>
            </w:r>
          </w:p>
        </w:tc>
        <w:tc>
          <w:tcPr>
            <w:tcW w:type="dxa" w:w="4997"/>
          </w:tcPr>
          <w:p>
            <w:r>
              <w:t>白名单未提供影响因子；白名单未提供JCR分区；SSCI分类：元数据未提供。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CAMPUS, 4 CRINAN ST, LONDON, ENGLAND, N1 9XW</w:t>
            </w:r>
          </w:p>
        </w:tc>
      </w:tr>
      <w:tr>
        <w:tc>
          <w:tcPr>
            <w:tcW w:type="dxa" w:w="4997"/>
          </w:tcPr>
          <w:p>
            <w:r>
              <w:rPr>
                <w:b/>
              </w:rPr>
              <w:t>卷期/DOI</w:t>
            </w:r>
          </w:p>
        </w:tc>
        <w:tc>
          <w:tcPr>
            <w:tcW w:type="dxa" w:w="4997"/>
          </w:tcPr>
          <w:p>
            <w:r>
              <w:t>卷期：摘要/元数据未说明；DOI: https://doi.org/10.1057/s41599-026-09040-8</w:t>
            </w:r>
          </w:p>
        </w:tc>
      </w:tr>
      <w:tr>
        <w:tc>
          <w:tcPr>
            <w:tcW w:type="dxa" w:w="4997"/>
          </w:tcPr>
          <w:p>
            <w:r>
              <w:rPr>
                <w:b/>
              </w:rPr>
              <w:t>在线发表时间</w:t>
            </w:r>
          </w:p>
        </w:tc>
        <w:tc>
          <w:tcPr>
            <w:tcW w:type="dxa" w:w="4997"/>
          </w:tcPr>
          <w:p>
            <w:r>
              <w:t>2026-09-12</w:t>
            </w:r>
          </w:p>
        </w:tc>
      </w:tr>
      <w:tr>
        <w:tc>
          <w:tcPr>
            <w:tcW w:type="dxa" w:w="4997"/>
          </w:tcPr>
          <w:p>
            <w:r>
              <w:rPr>
                <w:b/>
              </w:rPr>
              <w:t>SSCI分类</w:t>
            </w:r>
          </w:p>
        </w:tc>
        <w:tc>
          <w:tcPr>
            <w:tcW w:type="dxa" w:w="4997"/>
          </w:tcPr>
          <w:p>
            <w:r>
              <w:t>SSCI白名单匹配；分类未提供</w:t>
            </w:r>
          </w:p>
        </w:tc>
      </w:tr>
      <w:tr>
        <w:tc>
          <w:tcPr>
            <w:tcW w:type="dxa" w:w="4997"/>
          </w:tcPr>
          <w:p>
            <w:r>
              <w:rPr>
                <w:b/>
              </w:rPr>
              <w:t>论文链接</w:t>
            </w:r>
          </w:p>
        </w:tc>
        <w:tc>
          <w:tcPr>
            <w:tcW w:type="dxa" w:w="4997"/>
          </w:tcPr>
          <w:p>
            <w:hyperlink r:id="rId10">
              <w:r>
                <w:rPr>
                  <w:color w:val="0563C1"/>
                  <w:u w:val="single"/>
                </w:rPr>
                <w:t>https://doi.org/10.1057/s41599-026-09040-8</w:t>
              </w:r>
            </w:hyperlink>
          </w:p>
        </w:tc>
      </w:tr>
    </w:tbl>
    <w:p>
      <w:pPr>
        <w:pStyle w:val="Heading3"/>
      </w:pPr>
      <w:r>
        <w:t>研究摘要</w:t>
      </w:r>
    </w:p>
    <w:p>
      <w:r>
        <w:t>本研究利用《活计档》构建清雍正朝皇家器物知识图谱，旨在系统化碎片化历史记录，并为清代物质文化研究建立方法框架。研究采用大语言模型（LLM）、检索增强生成（RAG）框架与优化提示词，自动抽取非结构化数据，并将结构化实体存入Neo4j。实验结果显示，DeepSeek-V3在RAG增强下表现更优。生成的图谱可视化揭示档案中的组织层级、生产流程与皇家审美偏好。该文属于数字人文/人工智能方法研究，不属于学前教育、基础教育或教师教育主题。</w:t>
      </w:r>
    </w:p>
    <w:p>
      <w:pPr>
        <w:pStyle w:val="Heading3"/>
      </w:pPr>
      <w:r>
        <w:t>研究主要内容</w:t>
      </w:r>
    </w:p>
    <w:p>
      <w:r>
        <w:t>论文以清代雍正朝皇家器物生产为对象，使用《活计档》档案，结合LLM、RAG与优化提示词从非结构化历史文本中抽取实体，并存储到Neo4j图数据库，进而构建知识图谱。实验评估显示DeepSeek-V3在RAG增强下取得较优性能，并报告Micro/Macro F1、Precision与Recall。生成的知识图谱用于揭示组织层级、生产工作流和审美偏好。该文主题与用户指定的学前教育、基础教育、AI教学应用、教师数字素养/智能素养/数据素养、教师教育中的AI整合无直接关系。</w:t>
      </w:r>
    </w:p>
    <w:p>
      <w:pPr>
        <w:pStyle w:val="Heading3"/>
      </w:pPr>
      <w:r>
        <w:t>研究论点</w:t>
      </w:r>
    </w:p>
    <w:p>
      <w:r>
        <w:t>核心论点是：将大语言模型、RAG与图数据库技术结合，可系统化结构化清代历史文本，为清代皇家物质文化研究提供统一平台；该方法以人工智能与数字人文整合增强传统研究范式。</w:t>
      </w:r>
    </w:p>
    <w:p>
      <w:pPr>
        <w:pStyle w:val="Heading3"/>
      </w:pPr>
      <w:r>
        <w:t>研究问题</w:t>
      </w:r>
    </w:p>
    <w:p>
      <w:r>
        <w:t>摘要未直接说明研究问题；根据摘要，研究目标为：如何利用大语言模型与RAG从《活计档》等非结构化档案中自动抽取信息并构建雍正朝皇家器物生产知识图谱。</w:t>
      </w:r>
    </w:p>
    <w:p>
      <w:pPr>
        <w:pStyle w:val="Heading3"/>
      </w:pPr>
      <w:r>
        <w:t>研究方法</w:t>
      </w:r>
    </w:p>
    <w:p>
      <w:r>
        <w:t>研究类型：摘要未明确标注定量、定性或混合方法，表现为计算/数字人文方法开发与实验评估。样本或参与者：无人类参与者；数据来源为《活计档》（Huoji Dang archives），档案样本量、抽样方式与时间范围摘要未说明。数据收集：历史档案文本。分析方法：使用大语言模型、RAG框架与优化提示词自动抽取非结构化数据，将结构化实体存入Neo4j；通过实验评估模型性能，报告Micro F1、Macro F1、Precision、Recall，并称DeepSeek-V3在RAG增强下表现更优。具体比较模型、训练/验证划分、统计检验与标注一致性摘要未说明。</w:t>
      </w:r>
    </w:p>
    <w:p>
      <w:pPr>
        <w:pStyle w:val="Heading3"/>
      </w:pPr>
      <w:r>
        <w:t>主要发现</w:t>
      </w:r>
    </w:p>
    <w:p>
      <w:r>
        <w:t>1. DeepSeek-V3在RAG增强下取得Micro F1 86.75%（Precision 80.54%，Recall 94.00%）和Macro F1 84.70%（Precision 83.29%，Recall 88.39%）。</w:t>
      </w:r>
    </w:p>
    <w:p>
      <w:r>
        <w:t>2. 生成的知识图谱可可视化揭示档案中的组织层级、复杂生产工作流与皇家审美偏好。</w:t>
      </w:r>
    </w:p>
    <w:p>
      <w:r>
        <w:t>3. 该方法实现了历史文本的系统化结构化，为清代皇家物质文化研究提供统一平台，并体现AI与数字人文结合对传统研究范式的增强。</w:t>
      </w:r>
    </w:p>
    <w:p>
      <w:pPr>
        <w:pStyle w:val="Heading3"/>
      </w:pPr>
      <w:r>
        <w:t>对教师教育研究的启示</w:t>
      </w:r>
    </w:p>
    <w:p>
      <w:r>
        <w:t>该文不涉及学前教育、基础教育、AI教学应用、教师数字素养/智能素养/数据素养或教师教育中的AI整合，因此对教师教育研究的直接启示摘要未说明。方法层面或可借鉴之处是：LLM+RAG可用于非结构化文本实体抽取，Neo4j可用于知识图谱存储，Micro/Macro F1等可用于评估抽取性能；但该文未提供课堂、教师或教师培训数据，不能直接支持教师教育实证结论。</w:t>
      </w:r>
    </w:p>
    <w:p>
      <w:pPr>
        <w:pStyle w:val="Heading3"/>
      </w:pPr>
      <w:r>
        <w:t>APA引用格式</w:t>
      </w:r>
    </w:p>
    <w:p>
      <w:r>
        <w:t>Sui, A., Tong, Y., &amp; Gao, N. (2026). Large Language Model-driven knowledge graph construction for Qing Yongzheng imperial artifact production. Humanities and Social Sciences Communications. https://doi.org/10.1057/s41599-026-09040-8</w:t>
      </w:r>
    </w:p>
    <w:p>
      <w:r>
        <w:br w:type="page"/>
      </w:r>
    </w:p>
    <w:p>
      <w:pPr>
        <w:pStyle w:val="Heading2"/>
      </w:pPr>
      <w:r>
        <w:t>3. Does Civic Education Impact Primary School Students’ Civic Outcomes? Experimental Evidence from Liberia / 公民教育是否影响小学生的公民素养结果？来自利比里亚的实验证据</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Does Civic Education Impact Primary School Students’ Civic Outcomes? Experimental Evidence from Liberia / 公民教育是否影响小学生的公民素养结果？来自利比里亚的实验证据</w:t>
            </w:r>
          </w:p>
        </w:tc>
      </w:tr>
      <w:tr>
        <w:tc>
          <w:tcPr>
            <w:tcW w:type="dxa" w:w="4997"/>
          </w:tcPr>
          <w:p>
            <w:r>
              <w:rPr>
                <w:b/>
              </w:rPr>
              <w:t>作者</w:t>
            </w:r>
          </w:p>
        </w:tc>
        <w:tc>
          <w:tcPr>
            <w:tcW w:type="dxa" w:w="4997"/>
          </w:tcPr>
          <w:p>
            <w:r>
              <w:t>Sorana Acris, Alejandro J. Ganimian, Elisabeth King, Kate Marple-Cantrell</w:t>
            </w:r>
          </w:p>
        </w:tc>
      </w:tr>
      <w:tr>
        <w:tc>
          <w:tcPr>
            <w:tcW w:type="dxa" w:w="4997"/>
          </w:tcPr>
          <w:p>
            <w:r>
              <w:rPr>
                <w:b/>
              </w:rPr>
              <w:t>期刊及影响因子</w:t>
            </w:r>
          </w:p>
        </w:tc>
        <w:tc>
          <w:tcPr>
            <w:tcW w:type="dxa" w:w="4997"/>
          </w:tcPr>
          <w:p>
            <w:r>
              <w:t>期刊：Educational Evaluation and Policy Analysis；SSCI分类：Education &amp; Educational Research, English；影响因子/分区：白名单未提供影响因子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1935-1062</w:t>
            </w:r>
          </w:p>
        </w:tc>
      </w:tr>
      <w:tr>
        <w:tc>
          <w:tcPr>
            <w:tcW w:type="dxa" w:w="4997"/>
          </w:tcPr>
          <w:p>
            <w:r>
              <w:rPr>
                <w:b/>
              </w:rPr>
              <w:t>卷期/DOI</w:t>
            </w:r>
          </w:p>
        </w:tc>
        <w:tc>
          <w:tcPr>
            <w:tcW w:type="dxa" w:w="4997"/>
          </w:tcPr>
          <w:p>
            <w:r>
              <w:t>卷期缺失；DOI: https://doi.org/10.3102/01623737261468263</w:t>
            </w:r>
          </w:p>
        </w:tc>
      </w:tr>
      <w:tr>
        <w:tc>
          <w:tcPr>
            <w:tcW w:type="dxa" w:w="4997"/>
          </w:tcPr>
          <w:p>
            <w:r>
              <w:rPr>
                <w:b/>
              </w:rPr>
              <w:t>在线发表时间</w:t>
            </w:r>
          </w:p>
        </w:tc>
        <w:tc>
          <w:tcPr>
            <w:tcW w:type="dxa" w:w="4997"/>
          </w:tcPr>
          <w:p>
            <w:r>
              <w:t>2026-09-12</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1">
              <w:r>
                <w:rPr>
                  <w:color w:val="0563C1"/>
                  <w:u w:val="single"/>
                </w:rPr>
                <w:t>https://doi.org/10.3102/01623737261468263</w:t>
              </w:r>
            </w:hyperlink>
          </w:p>
        </w:tc>
      </w:tr>
    </w:tbl>
    <w:p>
      <w:pPr>
        <w:pStyle w:val="Heading3"/>
      </w:pPr>
      <w:r>
        <w:t>研究摘要</w:t>
      </w:r>
    </w:p>
    <w:p>
      <w:r>
        <w:t>本文呈现利比里亚公立小学公民教育项目的实验证据，覆盖140所服务三、四年级的学校。该项目提供新的公民教材、教师培训、每周两次教学以及定期课堂监测。一学年后，处理组学生在公民知识测评中的得分比对照组高0.38个标准差。增益集中在事实性知识（0.37个标准差），且在整个成绩分布上均有正向效应。然而，该项目对学生公民参与没有影响。课堂观察数据表明，教学高度以教材为中心，与高收入国家常见的参与式模式形成对比。</w:t>
      </w:r>
    </w:p>
    <w:p>
      <w:pPr>
        <w:pStyle w:val="Heading3"/>
      </w:pPr>
      <w:r>
        <w:t>研究主要内容</w:t>
      </w:r>
    </w:p>
    <w:p>
      <w:r>
        <w:t>论文评估利比里亚公立小学三、四年级公民教育项目的效果。干预包括提供新公民教材、教师培训、每周两次教学和定期课堂监测，持续一学年。研究关注学生公民知识与公民参与两类结果，并使用课堂观察描述教学实施情况。摘要显示，项目提升了公民知识，尤其是事实性知识，但未提升公民参与；课堂实施以教材为中心，而非参与式教学。</w:t>
      </w:r>
    </w:p>
    <w:p>
      <w:pPr>
        <w:pStyle w:val="Heading3"/>
      </w:pPr>
      <w:r>
        <w:t>研究论点</w:t>
      </w:r>
    </w:p>
    <w:p>
      <w:r>
        <w:t>论文的核心论证是：在利比里亚公立小学实施包含教材、教师培训、固定课时与课堂监测的公民教育项目，可以在短期内提高学生的公民知识，尤其是事实性知识，但不足以提升学生的公民参与；课堂观察进一步表明，教学实施高度以教材为中心，与高收入国家常见的参与式模式不同。</w:t>
      </w:r>
    </w:p>
    <w:p>
      <w:pPr>
        <w:pStyle w:val="Heading3"/>
      </w:pPr>
      <w:r>
        <w:t>研究问题</w:t>
      </w:r>
    </w:p>
    <w:p>
      <w:r>
        <w:t>公民教育项目是否影响利比里亚公立小学三、四年级学生的公民素养结果，尤其是公民知识与公民参与？项目在课堂中的实施方式如何？</w:t>
      </w:r>
    </w:p>
    <w:p>
      <w:pPr>
        <w:pStyle w:val="Heading3"/>
      </w:pPr>
      <w:r>
        <w:t>研究方法</w:t>
      </w:r>
    </w:p>
    <w:p>
      <w:r>
        <w:t>研究类型：实验研究（摘要称 experimental evidence；具体随机分配单位、是否整群随机、控制条件、预注册等信息未说明）。样本/参与者：利比里亚140所公立小学，覆盖3年级和4年级；学生人数、教师人数及样本特征未说明。干预内容：新公民教材、教师培训、每周两次教学、定期课堂监测，持续一学年。数据来源：公民知识测评、公民参与测量、课堂观察数据；具体测评工具、量表信效度、观察工具及数据收集时点未说明。分析方法：比较处理组与对照组结果，报告以标准差为单位的效应量（公民知识0.38 SD，事实性知识0.37 SD），并考察成绩分布上的效应；具体统计模型（如多层模型、协方差分析等）、缺失值或流失处理未说明。</w:t>
      </w:r>
    </w:p>
    <w:p>
      <w:pPr>
        <w:pStyle w:val="Heading3"/>
      </w:pPr>
      <w:r>
        <w:t>主要发现</w:t>
      </w:r>
    </w:p>
    <w:p>
      <w:r>
        <w:t>1. 公民知识：一学年后，处理组学生在公民知识测评中比对照组高0.38个标准差。2. 知识增益集中于事实性知识（0.37个标准差），且在整个成绩分布上均有正向效应。3. 公民参与：项目对学生公民参与没有影响；课堂观察显示教学高度以教材为中心，与高收入国家常见的参与式模式形成对比。</w:t>
      </w:r>
    </w:p>
    <w:p>
      <w:pPr>
        <w:pStyle w:val="Heading3"/>
      </w:pPr>
      <w:r>
        <w:t>对教师教育研究的启示</w:t>
      </w:r>
    </w:p>
    <w:p>
      <w:r>
        <w:t>该文对教师教育研究的启示主要在公民教育项目与教师培训评估设计：第一，教师培训若与教材、课时和课堂监测结合，可能提升学生知识，但若缺乏参与式教学法支持，课堂容易停留在教材中心，难以影响公民参与等行为性结果。第二，教师教育研究应同时收集教师教学实践数据（如课堂观察）与学生认知、行为结果数据，以解释“知识提升但参与未提升”的机制。第三，研究方法上可借鉴实验或整群随机评估、标准化测评与课堂观察结合的设计；未来研究需更充分报告随机化方式、样本量、流失、实施保真度和分析模型。摘要未说明AI教学应用、教师数字素养/智能素养/数据素养、教育数字化等主题。</w:t>
      </w:r>
    </w:p>
    <w:p>
      <w:pPr>
        <w:pStyle w:val="Heading3"/>
      </w:pPr>
      <w:r>
        <w:t>APA引用格式</w:t>
      </w:r>
    </w:p>
    <w:p>
      <w:r>
        <w:t>Acris, S., Ganimian, A. J., King, E., &amp; Marple-Cantrell, K. (2026). Does civic education impact primary school students’ civic outcomes? Experimental evidence from Liberia. Educational Evaluation and Policy Analysis. https://doi.org/10.3102/01623737261468263</w:t>
      </w:r>
    </w:p>
    <w:p>
      <w:r>
        <w:br w:type="page"/>
      </w:r>
    </w:p>
    <w:p>
      <w:pPr>
        <w:pStyle w:val="Heading2"/>
      </w:pPr>
      <w:r>
        <w:t>4. Research on the double-edged sword impact of AI performance feedback on employee creativity / AI绩效反馈对员工创造力的双刃剑影响研究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Research on the double-edged sword impact of AI performance feedback on employee creativity / AI绩效反馈对员工创造力的双刃剑影响研究</w:t>
            </w:r>
          </w:p>
        </w:tc>
      </w:tr>
      <w:tr>
        <w:tc>
          <w:tcPr>
            <w:tcW w:type="dxa" w:w="4997"/>
          </w:tcPr>
          <w:p>
            <w:r>
              <w:rPr>
                <w:b/>
              </w:rPr>
              <w:t>作者</w:t>
            </w:r>
          </w:p>
        </w:tc>
        <w:tc>
          <w:tcPr>
            <w:tcW w:type="dxa" w:w="4997"/>
          </w:tcPr>
          <w:p>
            <w:r>
              <w:t>Meng Xiangxiang, Niu Chenchen</w:t>
            </w:r>
          </w:p>
        </w:tc>
      </w:tr>
      <w:tr>
        <w:tc>
          <w:tcPr>
            <w:tcW w:type="dxa" w:w="4997"/>
          </w:tcPr>
          <w:p>
            <w:r>
              <w:rPr>
                <w:b/>
              </w:rPr>
              <w:t>期刊及影响因子</w:t>
            </w:r>
          </w:p>
        </w:tc>
        <w:tc>
          <w:tcPr>
            <w:tcW w:type="dxa" w:w="4997"/>
          </w:tcPr>
          <w:p>
            <w:r>
              <w:t>期刊：Baltic Journal of Management；SSCI分类：English, Management；影响因子/分区：白名单未提供影响因子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1746-5273</w:t>
            </w:r>
          </w:p>
        </w:tc>
      </w:tr>
      <w:tr>
        <w:tc>
          <w:tcPr>
            <w:tcW w:type="dxa" w:w="4997"/>
          </w:tcPr>
          <w:p>
            <w:r>
              <w:rPr>
                <w:b/>
              </w:rPr>
              <w:t>卷期/DOI</w:t>
            </w:r>
          </w:p>
        </w:tc>
        <w:tc>
          <w:tcPr>
            <w:tcW w:type="dxa" w:w="4997"/>
          </w:tcPr>
          <w:p>
            <w:r>
              <w:t>卷期缺失；DOI: 10.1108/bjm-12-2025-1078</w:t>
            </w:r>
          </w:p>
        </w:tc>
      </w:tr>
      <w:tr>
        <w:tc>
          <w:tcPr>
            <w:tcW w:type="dxa" w:w="4997"/>
          </w:tcPr>
          <w:p>
            <w:r>
              <w:rPr>
                <w:b/>
              </w:rPr>
              <w:t>在线发表时间</w:t>
            </w:r>
          </w:p>
        </w:tc>
        <w:tc>
          <w:tcPr>
            <w:tcW w:type="dxa" w:w="4997"/>
          </w:tcPr>
          <w:p>
            <w:r>
              <w:t>2026-09-15</w:t>
            </w:r>
          </w:p>
        </w:tc>
      </w:tr>
      <w:tr>
        <w:tc>
          <w:tcPr>
            <w:tcW w:type="dxa" w:w="4997"/>
          </w:tcPr>
          <w:p>
            <w:r>
              <w:rPr>
                <w:b/>
              </w:rPr>
              <w:t>SSCI分类</w:t>
            </w:r>
          </w:p>
        </w:tc>
        <w:tc>
          <w:tcPr>
            <w:tcW w:type="dxa" w:w="4997"/>
          </w:tcPr>
          <w:p>
            <w:r>
              <w:t>English；Management</w:t>
            </w:r>
          </w:p>
        </w:tc>
      </w:tr>
      <w:tr>
        <w:tc>
          <w:tcPr>
            <w:tcW w:type="dxa" w:w="4997"/>
          </w:tcPr>
          <w:p>
            <w:r>
              <w:rPr>
                <w:b/>
              </w:rPr>
              <w:t>论文链接</w:t>
            </w:r>
          </w:p>
        </w:tc>
        <w:tc>
          <w:tcPr>
            <w:tcW w:type="dxa" w:w="4997"/>
          </w:tcPr>
          <w:p>
            <w:hyperlink r:id="rId12">
              <w:r>
                <w:rPr>
                  <w:color w:val="0563C1"/>
                  <w:u w:val="single"/>
                </w:rPr>
                <w:t>https://doi.org/10.1108/bjm-12-2025-1078</w:t>
              </w:r>
            </w:hyperlink>
          </w:p>
        </w:tc>
      </w:tr>
    </w:tbl>
    <w:p>
      <w:pPr>
        <w:pStyle w:val="Heading3"/>
      </w:pPr>
      <w:r>
        <w:t>研究摘要</w:t>
      </w:r>
    </w:p>
    <w:p>
      <w:r>
        <w:t>目的：基于精细信息加工理论并加入AI特定机制，探讨AI绩效反馈通过批判性反思的正向路径和认知惰性的负向路径对员工创造力形成的双刃剑效应，以及核心自我评价（CSE）的调节作用。设计/方法：采用单来源、三波问卷调查设计，以山东、北京等地区高科技企业为调查对象，经过数据清洗后获得249份有效员工问卷。发现：AI绩效反馈通过批判性反思和认知惰性形成双重中介机制；CSE起关键调节作用，高CSE个体通过增强批判性反思表现出更强正向效应，低CSE个体通过增加认知惰性表现出更明显负向效应；生成式AI与传统算法AI系统对两条路径影响不同。原创价值：弥补以往文献过度强调AI绩效反馈益处或危害、未厘清双认知机制的理论缺口；区分AI绩效反馈与传统反馈，揭示算法输入下启发式与系统式加工，并将AI反馈频率、质量、冗余等特征引入双路径模型。</w:t>
      </w:r>
    </w:p>
    <w:p>
      <w:pPr>
        <w:pStyle w:val="Heading3"/>
      </w:pPr>
      <w:r>
        <w:t>研究主要内容</w:t>
      </w:r>
    </w:p>
    <w:p>
      <w:r>
        <w:t>论文聚焦AI绩效反馈对员工创造力的双刃剑影响。基于精细信息加工理论并加入AI特定机制，提出AI绩效反馈通过批判性反思产生正向影响、通过认知惰性产生负向影响的双中介模型，并考察核心自我评价（CSE）的调节作用。研究还比较生成式AI与传统算法AI系统的差异，并引入AI反馈频率、质量、冗余等特征。研究对象为山东、北京等地区高科技企业员工，采用单来源、三波问卷设计，获得249份有效问卷。主要结论是双路径并存，CSE调节两条路径，AI系统类型影响路径强度。该文不属于学前教育或基础教育阶段研究，也不以教师为样本，主题为组织管理中的员工创造力。</w:t>
      </w:r>
    </w:p>
    <w:p>
      <w:pPr>
        <w:pStyle w:val="Heading3"/>
      </w:pPr>
      <w:r>
        <w:t>研究论点</w:t>
      </w:r>
    </w:p>
    <w:p>
      <w:r>
        <w:t>核心论点是AI绩效反馈对员工创造力并非单向促进或抑制，而是同时通过批判性反思的正向路径和认知惰性的负向路径产生双刃剑效应；核心自我评价决定个体更偏向哪条路径，生成式AI与传统算法AI系统的作用存在差异。理论贡献在于区分AI绩效反馈与传统反馈，揭示算法输入下启发式与系统式加工，并将AI特征引入双路径模型。</w:t>
      </w:r>
    </w:p>
    <w:p>
      <w:pPr>
        <w:pStyle w:val="Heading3"/>
      </w:pPr>
      <w:r>
        <w:t>研究问题</w:t>
      </w:r>
    </w:p>
    <w:p>
      <w:r>
        <w:t>摘要未以问句形式逐条列出研究问题；根据摘要，研究探讨：AI绩效反馈如何通过批判性反思（正向）和认知惰性（负向）双重路径影响员工创造力？核心自我评价（CSE）如何调节这两条路径？生成式AI与传统算法AI系统对两条路径的影响是否存在差异？</w:t>
      </w:r>
    </w:p>
    <w:p>
      <w:pPr>
        <w:pStyle w:val="Heading3"/>
      </w:pPr>
      <w:r>
        <w:t>研究方法</w:t>
      </w:r>
    </w:p>
    <w:p>
      <w:r>
        <w:t>研究类型：定量研究，采用单来源、三波问卷调查设计。样本/参与者：山东、北京等地区高科技企业员工；经数据清洗后获得249份有效员工问卷。数据来源：员工三波自评问卷。分析方法：摘要未说明具体统计分析方法、软件、中介与调节检验步骤、信效度检验及共同方法偏差处理；仅说明检验双中介机制、CSE调节效应，以及生成式AI与传统算法AI系统的差异影响。研究情境：摘要未说明涉及学前教育、基础教育或教师样本，且样本为高科技企业员工。</w:t>
      </w:r>
    </w:p>
    <w:p>
      <w:pPr>
        <w:pStyle w:val="Heading3"/>
      </w:pPr>
      <w:r>
        <w:t>主要发现</w:t>
      </w:r>
    </w:p>
    <w:p>
      <w:r>
        <w:t>1. AI绩效反馈存在双刃剑效应：通过批判性反思正向影响员工创造力，通过认知惰性负向影响员工创造力，构成双重中介机制。</w:t>
      </w:r>
    </w:p>
    <w:p>
      <w:r>
        <w:t>2. 核心自我评价（CSE）起关键调节作用：高CSE个体通过增强批判性反思表现出更强的正向效应；低CSE个体通过增加认知惰性表现出更明显的负向效应。</w:t>
      </w:r>
    </w:p>
    <w:p>
      <w:r>
        <w:t>3. 生成式AI与传统算法AI系统对上述两条路径影响不同；研究还区分AI绩效反馈与传统反馈，并将AI反馈频率、质量、冗余等特征引入双路径模型。</w:t>
      </w:r>
    </w:p>
    <w:p>
      <w:pPr>
        <w:pStyle w:val="Heading3"/>
      </w:pPr>
      <w:r>
        <w:t>对教师教育研究的启示</w:t>
      </w:r>
    </w:p>
    <w:p>
      <w:r>
        <w:t>1. 主题前沿提示：该文并非学前教育、基础教育或教师教育研究，样本为高科技企业员工，不能直接外推到教师教育；但其AI绩效反馈双刃剑机制可启发研究AI评价、智能反馈对教师反思、教学创新与专业发展的影响。</w:t>
      </w:r>
    </w:p>
    <w:p>
      <w:r>
        <w:t>2. 研究设计借鉴：可采用单来源、三波纵向问卷和严格数据清洗思路；教师教育研究更宜采用多来源（教师、学生、同行、管理者）与多时点设计，以降低同源偏差。</w:t>
      </w:r>
    </w:p>
    <w:p>
      <w:r>
        <w:t>3. 机制与调节借鉴：教师教育可检验批判性反思与认知惰性双路径，以及教师核心自我评价、自我效能、AI自我效能等调节变量；同时区分生成式AI与算法型AI，并纳入AI反馈频率、质量、冗余等特征。</w:t>
      </w:r>
    </w:p>
    <w:p>
      <w:r>
        <w:t>4. 数据收集与分析提示：该摘要未说明具体分析方法；教师教育研究应明确中介与调节模型的分析方法（如结构方程模型、Bootstrap、多层模型等）、信效度检验与共同方法偏差检验。</w:t>
      </w:r>
    </w:p>
    <w:p>
      <w:pPr>
        <w:pStyle w:val="Heading3"/>
      </w:pPr>
      <w:r>
        <w:t>APA引用格式</w:t>
      </w:r>
    </w:p>
    <w:p>
      <w:r>
        <w:t>Meng, X., &amp; Niu, C. (2026). Research on the double-edged sword impact of AI performance feedback on employee creativity. Baltic Journal of Management. https://doi.org/10.1108/bjm-12-2025-1078</w:t>
      </w:r>
    </w:p>
    <w:p>
      <w:r>
        <w:br w:type="page"/>
      </w:r>
    </w:p>
    <w:p>
      <w:pPr>
        <w:pStyle w:val="Heading2"/>
      </w:pPr>
      <w:r>
        <w:t>5. AI transparency and bias mitigation in customer service: how ethical culture shapes customer trust / AI透明度与客户服务中的偏见缓解：伦理文化如何塑造客户信任</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AI transparency and bias mitigation in customer service: how ethical culture shapes customer trust / AI透明度与客户服务中的偏见缓解：伦理文化如何塑造客户信任</w:t>
            </w:r>
          </w:p>
        </w:tc>
      </w:tr>
      <w:tr>
        <w:tc>
          <w:tcPr>
            <w:tcW w:type="dxa" w:w="4997"/>
          </w:tcPr>
          <w:p>
            <w:r>
              <w:rPr>
                <w:b/>
              </w:rPr>
              <w:t>作者</w:t>
            </w:r>
          </w:p>
        </w:tc>
        <w:tc>
          <w:tcPr>
            <w:tcW w:type="dxa" w:w="4997"/>
          </w:tcPr>
          <w:p>
            <w:r>
              <w:t>Muhammad Ehsan, Abid Hussain, Jing Song, Areeba Shaukat</w:t>
            </w:r>
          </w:p>
        </w:tc>
      </w:tr>
      <w:tr>
        <w:tc>
          <w:tcPr>
            <w:tcW w:type="dxa" w:w="4997"/>
          </w:tcPr>
          <w:p>
            <w:r>
              <w:rPr>
                <w:b/>
              </w:rPr>
              <w:t>期刊及影响因子</w:t>
            </w:r>
          </w:p>
        </w:tc>
        <w:tc>
          <w:tcPr>
            <w:tcW w:type="dxa" w:w="4997"/>
          </w:tcPr>
          <w:p>
            <w:r>
              <w:t>SSCI分类：International Relations；影响因子：白名单未提供；JCR分区：白名单未提供。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卷期未说明；DOI: 10.1108/ijoes-03-2026-0197</w:t>
            </w:r>
          </w:p>
        </w:tc>
      </w:tr>
      <w:tr>
        <w:tc>
          <w:tcPr>
            <w:tcW w:type="dxa" w:w="4997"/>
          </w:tcPr>
          <w:p>
            <w:r>
              <w:rPr>
                <w:b/>
              </w:rPr>
              <w:t>在线发表时间</w:t>
            </w:r>
          </w:p>
        </w:tc>
        <w:tc>
          <w:tcPr>
            <w:tcW w:type="dxa" w:w="4997"/>
          </w:tcPr>
          <w:p>
            <w:r>
              <w:t>2026-09-15（元数据标注为发表日期）</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3">
              <w:r>
                <w:rPr>
                  <w:color w:val="0563C1"/>
                  <w:u w:val="single"/>
                </w:rPr>
                <w:t>https://doi.org/10.1108/ijoes-03-2026-0197</w:t>
              </w:r>
            </w:hyperlink>
          </w:p>
        </w:tc>
      </w:tr>
    </w:tbl>
    <w:p>
      <w:pPr>
        <w:pStyle w:val="Heading3"/>
      </w:pPr>
      <w:r>
        <w:t>研究摘要</w:t>
      </w:r>
    </w:p>
    <w:p>
      <w:r>
        <w:t>目的：检验AI驱动客户服务中一个未解决问题：为何AI透明度与偏见缓解在不同组织情境下不会自动转化为客户信任。具体考察在中国情境下，偏见缓解策略与AI透明度对客户信任的影响，以及组织伦理文化的调节作用。设计/方法：对1,450名使用生成式AI服务的银行和电商客户进行横断面调查；采用改编量表测量AI透明度、偏见缓解、客户信任和组织伦理文化；使用偏最小二乘结构方程模型（PLS-SEM）两步法，先评估测量模型信效度，再检验结构模型假设；多元回归作为补充稳健性检验。发现：偏见缓解策略（β=0.30，p&lt;0.001）和AI透明度（β=0.35，p&lt;0.001）均显著提升客户信任；组织伦理文化调节并放大这些效应（β=0.20和0.18，p&lt;0.01）。原创性/价值：将AI透明度和偏见缓解重构为治理与组织控制机制，而非单纯技术特征；说明组织伦理文化是影响客户是否将其视为公平与问责可信信号的关键非正式情境，并解释在中国情境下透明度和偏见缓解为何不自动建立客户信任。</w:t>
      </w:r>
    </w:p>
    <w:p>
      <w:pPr>
        <w:pStyle w:val="Heading3"/>
      </w:pPr>
      <w:r>
        <w:t>研究主要内容</w:t>
      </w:r>
    </w:p>
    <w:p>
      <w:r>
        <w:t>本文研究客服场景中生成式AI的透明度、偏见缓解与客户信任之间关系，并检验组织伦理文化的调节作用。数据来自中国银行和电商领域1,450名生成式AI服务客户的横断面调查。分析采用PLS-SEM和多元回归。论文将AI透明度和偏见缓解视为治理与组织控制机制，强调组织伦理文化作为非正式情境会放大这两类机制对客户信任的正向影响。该文主题为AI客服与客户信任，不属于学前教育或基础教育，也不涉及教师数字素养或教师教育中的AI整合。</w:t>
      </w:r>
    </w:p>
    <w:p>
      <w:pPr>
        <w:pStyle w:val="Heading3"/>
      </w:pPr>
      <w:r>
        <w:t>研究论点</w:t>
      </w:r>
    </w:p>
    <w:p>
      <w:r>
        <w:t>AI透明度与偏见缓解不是自动建立客户信任的纯技术特征，而应被理解为治理和组织控制机制；组织伦理文化是关键的非正式情境，决定客户是否将透明度和偏见缓解视为公平与问责的可信信号，从而影响信任形成。</w:t>
      </w:r>
    </w:p>
    <w:p>
      <w:pPr>
        <w:pStyle w:val="Heading3"/>
      </w:pPr>
      <w:r>
        <w:t>研究问题</w:t>
      </w:r>
    </w:p>
    <w:p>
      <w:r>
        <w:t>在AI驱动的客户服务中，为什么AI透明度与偏见缓解在不同组织情境下不会自动转化为客户信任？具体问题包括：偏见缓解策略和AI透明度如何影响客户信任？组织伦理文化是否调节这些影响？研究在中国银行与电商生成式AI服务情境下展开。</w:t>
      </w:r>
    </w:p>
    <w:p>
      <w:pPr>
        <w:pStyle w:val="Heading3"/>
      </w:pPr>
      <w:r>
        <w:t>研究方法</w:t>
      </w:r>
    </w:p>
    <w:p>
      <w:r>
        <w:t>研究类型：定量研究，采用横断面问卷调查。样本/参与者：1,450名在中国使用生成式AI服务的银行和电商客户。数据来源：问卷调查，使用改编量表测量AI透明度、偏见缓解、客户信任和组织伦理文化。分析方法：偏最小二乘结构方程模型（PLS-SEM），采用两步法，先评估测量模型（信度和效度），再评估结构模型以检验假设关系；多元回归作为补充稳健性检验。摘要未说明抽样方法、数据收集时间、问卷发放平台及具体量表来源细节。</w:t>
      </w:r>
    </w:p>
    <w:p>
      <w:pPr>
        <w:pStyle w:val="Heading3"/>
      </w:pPr>
      <w:r>
        <w:t>主要发现</w:t>
      </w:r>
    </w:p>
    <w:p>
      <w:r>
        <w:t>1. 偏见缓解策略显著提升客户信任（β=0.30，p&lt;0.001）。2. AI透明度显著提升客户信任（β=0.35，p&lt;0.001）。3. 组织伦理文化显著调节并放大上述效应（β=0.20和0.18，p&lt;0.01），即强伦理文化组织中透明度和公平性对客户信任的作用更明显。</w:t>
      </w:r>
    </w:p>
    <w:p>
      <w:pPr>
        <w:pStyle w:val="Heading3"/>
      </w:pPr>
      <w:r>
        <w:t>对教师教育研究的启示</w:t>
      </w:r>
    </w:p>
    <w:p>
      <w:r>
        <w:t>摘要未说明对教师教育研究的直接启示。该文研究对象为银行与电商客户，不涉及学前教育、基础教育、教师数字素养、智能素养、数据素养或教师培训中的AI整合。若仅从研究设计与方法角度借鉴，教师教育研究可关注：使用改编量表测量教师对AI透明度、公平性/偏见缓解的感知与信任；采用横断面问卷收集数据；用PLS-SEM两步法检验测量模型与结构模型，并考察学校或机构伦理文化的调节作用；以多元回归进行稳健性检验。但需注意本文变量和情境来自客服与客户信任，不能直接套用于教师或学生样本。</w:t>
      </w:r>
    </w:p>
    <w:p>
      <w:pPr>
        <w:pStyle w:val="Heading3"/>
      </w:pPr>
      <w:r>
        <w:t>APA引用格式</w:t>
      </w:r>
    </w:p>
    <w:p>
      <w:r>
        <w:t>Ehsan, M., Hussain, A., Song, J., &amp; Shaukat, A. (2026). AI transparency and bias mitigation in customer service: How ethical culture shapes customer trust. International Journal of Ethics and Systems. https://doi.org/10.1108/ijoes-03-2026-0197</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123.17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02/jcal.70333" TargetMode="External"/><Relationship Id="rId10" Type="http://schemas.openxmlformats.org/officeDocument/2006/relationships/hyperlink" Target="https://doi.org/10.1057/s41599-026-09040-8" TargetMode="External"/><Relationship Id="rId11" Type="http://schemas.openxmlformats.org/officeDocument/2006/relationships/hyperlink" Target="https://doi.org/10.3102/01623737261468263" TargetMode="External"/><Relationship Id="rId12" Type="http://schemas.openxmlformats.org/officeDocument/2006/relationships/hyperlink" Target="https://doi.org/10.1108/bjm-12-2025-1078" TargetMode="External"/><Relationship Id="rId13" Type="http://schemas.openxmlformats.org/officeDocument/2006/relationships/hyperlink" Target="https://doi.org/10.1108/ijoes-03-2026-01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