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每日SSCI文献简报｜2026-09-10</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2026-09-10 09:51:31（北京时间）</w:t>
            </w:r>
          </w:p>
        </w:tc>
      </w:tr>
      <w:tr>
        <w:tc>
          <w:tcPr>
            <w:tcW w:type="dxa" w:w="4997"/>
          </w:tcPr>
          <w:p>
            <w:r>
              <w:rPr>
                <w:b/>
              </w:rPr>
              <w:t>检索窗口</w:t>
            </w:r>
          </w:p>
        </w:tc>
        <w:tc>
          <w:tcPr>
            <w:tcW w:type="dxa" w:w="4997"/>
          </w:tcPr>
          <w:p>
            <w:r>
              <w:t>2023-09-11 — 2026-09-10</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今日文献聚焦AI教育应用：教师社会情感发展、外语技能提升与AI辅助编码的科研诚信。方法上概念批判、元分析与培训实践反思并重；趋势由效率转向关系质量、批判性AI素养与诚信治理。</w:t>
      </w:r>
    </w:p>
    <w:p>
      <w:pPr>
        <w:pStyle w:val="Heading1"/>
      </w:pPr>
      <w:r>
        <w:t>目录</w:t>
      </w:r>
    </w:p>
    <w:p>
      <w:pPr>
        <w:pStyle w:val="ListNumber"/>
      </w:pPr>
      <w:r>
        <w:rPr>
          <w:b/>
        </w:rPr>
        <w:t>人工智能与情绪智力：不确定性时代教师专业发展的两股关键力量</w:t>
      </w:r>
      <w:r>
        <w:t>｜Frontiers in Psychology｜2026-09-09</w:t>
      </w:r>
    </w:p>
    <w:p>
      <w:pPr>
        <w:pStyle w:val="ListNumber"/>
      </w:pPr>
      <w:r>
        <w:rPr>
          <w:b/>
        </w:rPr>
        <w:t>数字与人工智能技术对提升外语听说读写技能的影响：一项元分析</w:t>
      </w:r>
      <w:r>
        <w:t>｜Journal of Computer Assisted Learning｜2026-09-08</w:t>
      </w:r>
    </w:p>
    <w:p>
      <w:pPr>
        <w:pStyle w:val="ListNumber"/>
      </w:pPr>
      <w:r>
        <w:rPr>
          <w:b/>
        </w:rPr>
        <w:t>AI辅助编码时代保护科研诚信的培训</w:t>
      </w:r>
      <w:r>
        <w:t>｜Zenodo (CERN European Organization for Nuclear Research)｜2026-09-09</w:t>
      </w:r>
    </w:p>
    <w:p>
      <w:pPr>
        <w:pStyle w:val="ListNumber"/>
      </w:pPr>
      <w:r>
        <w:rPr>
          <w:b/>
        </w:rPr>
        <w:t>面向AI辅助编程时代的研究诚信保护培训</w:t>
      </w:r>
      <w:r>
        <w:t>｜Zenodo (CERN European Organization for Nuclear Research)｜2026-09-09</w:t>
      </w:r>
    </w:p>
    <w:p>
      <w:pPr>
        <w:pStyle w:val="ListNumber"/>
      </w:pPr>
      <w:r>
        <w:rPr>
          <w:b/>
        </w:rPr>
        <w:t>AI辅助编码时代保护科研诚信的培训</w:t>
      </w:r>
      <w:r>
        <w:t>｜Zenodo (CERN European Organization for Nuclear Research)｜2026-09-09</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Artificial and emotional intelligence: two key forces for teachers' professional development in an era of uncertainty / 人工智能与情绪智力：不确定性时代教师专业发展的两股关键力量</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Artificial and emotional intelligence: two key forces for teachers' professional development in an era of uncertainty / 人工智能与情绪智力：不确定性时代教师专业发展的两股关键力量</w:t>
            </w:r>
          </w:p>
        </w:tc>
      </w:tr>
      <w:tr>
        <w:tc>
          <w:tcPr>
            <w:tcW w:type="dxa" w:w="4997"/>
          </w:tcPr>
          <w:p>
            <w:r>
              <w:rPr>
                <w:b/>
              </w:rPr>
              <w:t>作者</w:t>
            </w:r>
          </w:p>
        </w:tc>
        <w:tc>
          <w:tcPr>
            <w:tcW w:type="dxa" w:w="4997"/>
          </w:tcPr>
          <w:p>
            <w:r>
              <w:t>Myriam Liz Aponte, Ana Dolores Vargas Sánchez, Andrés Chiappe, Sandra Martínez-Pérez</w:t>
            </w:r>
          </w:p>
        </w:tc>
      </w:tr>
      <w:tr>
        <w:tc>
          <w:tcPr>
            <w:tcW w:type="dxa" w:w="4997"/>
          </w:tcPr>
          <w:p>
            <w:r>
              <w:rPr>
                <w:b/>
              </w:rPr>
              <w:t>期刊及影响因子</w:t>
            </w:r>
          </w:p>
        </w:tc>
        <w:tc>
          <w:tcPr>
            <w:tcW w:type="dxa" w:w="4997"/>
          </w:tcPr>
          <w:p>
            <w:r>
              <w:t>Frontiers in Psychology；SSCI分类：English, Multidisciplinary, Psychology；白名单未提供影响因子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1664-1078</w:t>
            </w:r>
          </w:p>
        </w:tc>
      </w:tr>
      <w:tr>
        <w:tc>
          <w:tcPr>
            <w:tcW w:type="dxa" w:w="4997"/>
          </w:tcPr>
          <w:p>
            <w:r>
              <w:rPr>
                <w:b/>
              </w:rPr>
              <w:t>卷期/DOI</w:t>
            </w:r>
          </w:p>
        </w:tc>
        <w:tc>
          <w:tcPr>
            <w:tcW w:type="dxa" w:w="4997"/>
          </w:tcPr>
          <w:p>
            <w:r>
              <w:t>卷期未说明；DOI: 10.3389/fpsyg.2026.1935683</w:t>
            </w:r>
          </w:p>
        </w:tc>
      </w:tr>
      <w:tr>
        <w:tc>
          <w:tcPr>
            <w:tcW w:type="dxa" w:w="4997"/>
          </w:tcPr>
          <w:p>
            <w:r>
              <w:rPr>
                <w:b/>
              </w:rPr>
              <w:t>在线发表时间</w:t>
            </w:r>
          </w:p>
        </w:tc>
        <w:tc>
          <w:tcPr>
            <w:tcW w:type="dxa" w:w="4997"/>
          </w:tcPr>
          <w:p>
            <w:r>
              <w:t>2026-09-09</w:t>
            </w:r>
          </w:p>
        </w:tc>
      </w:tr>
      <w:tr>
        <w:tc>
          <w:tcPr>
            <w:tcW w:type="dxa" w:w="4997"/>
          </w:tcPr>
          <w:p>
            <w:r>
              <w:rPr>
                <w:b/>
              </w:rPr>
              <w:t>SSCI分类</w:t>
            </w:r>
          </w:p>
        </w:tc>
        <w:tc>
          <w:tcPr>
            <w:tcW w:type="dxa" w:w="4997"/>
          </w:tcPr>
          <w:p>
            <w:r>
              <w:t>English；Multidisciplinary；Psychology</w:t>
            </w:r>
          </w:p>
        </w:tc>
      </w:tr>
      <w:tr>
        <w:tc>
          <w:tcPr>
            <w:tcW w:type="dxa" w:w="4997"/>
          </w:tcPr>
          <w:p>
            <w:r>
              <w:rPr>
                <w:b/>
              </w:rPr>
              <w:t>论文链接</w:t>
            </w:r>
          </w:p>
        </w:tc>
        <w:tc>
          <w:tcPr>
            <w:tcW w:type="dxa" w:w="4997"/>
          </w:tcPr>
          <w:p>
            <w:hyperlink r:id="rId9">
              <w:r>
                <w:rPr>
                  <w:color w:val="0563C1"/>
                  <w:u w:val="single"/>
                </w:rPr>
                <w:t>https://doi.org/10.3389/fpsyg.2026.1935683</w:t>
              </w:r>
            </w:hyperlink>
          </w:p>
        </w:tc>
      </w:tr>
    </w:tbl>
    <w:p>
      <w:pPr>
        <w:pStyle w:val="Heading3"/>
      </w:pPr>
      <w:r>
        <w:t>研究摘要</w:t>
      </w:r>
    </w:p>
    <w:p>
      <w:r>
        <w:t>在人工智能教育应用快速扩张而机构保护教师福祉能力滞后的背景下，本文进行概念性与批判性综合。文章超越技术乐观主义与对去人性化的预防性拒绝，提出以‘关系密度化’为评估标准：只有当AI作为关系性基础设施、而非人类陪伴的符号替代时，才可能支持教师的社会情感专业发展。文章区分协调系统、推荐工具、分析工具、对话代理与情绪AI等不同AI中介功能及其伦理与教学风险，并关注情感数据治理、教育AI政治经济学、文化与语言特殊性，以及作为社会情感能力的批判性AI素养。结论认为，AI支持的教师发展不应仅以效率或个性化评估，而应以其扩展、保护和维持人类专业关系的能力来评估。</w:t>
      </w:r>
    </w:p>
    <w:p>
      <w:pPr>
        <w:pStyle w:val="Heading3"/>
      </w:pPr>
      <w:r>
        <w:t>研究主要内容</w:t>
      </w:r>
    </w:p>
    <w:p>
      <w:r>
        <w:t>本文属概念性与批判性综合文章，核心内容是提出‘关系密度化’作为审视AI支持教师专业发展举措的评估标准。所谓关系密度化，指AI支持是否强化与教师福祉相关的专业关系，包括信任、导师制、同伴支持、协作、心理安全感和减少孤立。文章区分AI中介的不同功能：协调系统、推荐工具、分析工具、对话代理和情绪AI，并讨论其差异化伦理与教学风险。文章还指出这些关系可能通过课堂氛围、教学回应性和社会情感支持对学生产生下游影响。特别关注情感数据治理、教育AI的政治经济学、文化与语言特殊性，以及将批判性AI素养视为社会情感能力。结论：AI支持的教师发展应以扩展、保护和维持人类专业关系的能力评估，而非仅看效率或个性化。摘要未说明具体学段或实证数据。</w:t>
      </w:r>
    </w:p>
    <w:p>
      <w:pPr>
        <w:pStyle w:val="Heading3"/>
      </w:pPr>
      <w:r>
        <w:t>研究论点</w:t>
      </w:r>
    </w:p>
    <w:p>
      <w:r>
        <w:t>核心论点：AI能否支持教师社会情感专业发展，取决于其是否作为关系性基础设施而非人类陪伴的符号替代；评估AI支持的教师发展，不应仅以效率和个性化标准，而应以关系密度化，即能否扩展、保护和维持信任、导师制、同伴支持、协作、心理安全与减少孤立等专业关系为标准。</w:t>
      </w:r>
    </w:p>
    <w:p>
      <w:pPr>
        <w:pStyle w:val="Heading3"/>
      </w:pPr>
      <w:r>
        <w:t>研究问题</w:t>
      </w:r>
    </w:p>
    <w:p>
      <w:r>
        <w:t>摘要未明确列出研究问题。可概括其探讨的核心问题为：在不确定性时代，AI在何种条件下能够支持教师的社会情感专业发展，以及应以何种标准评估AI支持的教师发展举措。文章并未报告针对学前教育或基础教育阶段的特定研究问题，也未说明具体学段。</w:t>
      </w:r>
    </w:p>
    <w:p>
      <w:pPr>
        <w:pStyle w:val="Heading3"/>
      </w:pPr>
      <w:r>
        <w:t>研究方法</w:t>
      </w:r>
    </w:p>
    <w:p>
      <w:r>
        <w:t>研究类型：概念性与批判性综合（conceptual and critical synthesis），非定量、定性或混合方法的实证研究。样本/参与者：无。数据来源：摘要未说明，未报告实证数据收集。分析方法：概念分析与批判性综合，通过理论论证提出‘关系密度化’评估标准，并区分协调系统、推荐工具、分析工具、对话代理、情绪AI等AI中介功能及其伦理与教学风险；未说明系统综述、文献检索策略或编码过程。</w:t>
      </w:r>
    </w:p>
    <w:p>
      <w:pPr>
        <w:pStyle w:val="Heading3"/>
      </w:pPr>
      <w:r>
        <w:t>主要发现</w:t>
      </w:r>
    </w:p>
    <w:p>
      <w:r>
        <w:t>1. 文章主张，只有当AI作为关系性基础设施而非人类陪伴的符号替代时，才可能支持教师的社会情感专业发展；技术乐观主义与预防性拒绝均不足以作为评估依据。2. 提出‘关系密度化’作为评估标准，关注AI支持的举措能否强化信任、导师制、同伴支持、协作、心理安全感和减少孤立，并可能通过课堂氛围、教学回应性和社会情感支持对学生产生下游影响。3. 区分协调系统、推荐工具、分析工具、对话代理和情绪AI等不同AI中介功能及其差异化伦理/教学风险，强调情感数据治理、教育AI政治经济学、文化与语言特殊性，以及作为社会情感能力的批判性AI素养；结论认为应以扩展、保护和维持人类专业关系的能力来评估AI支持的教师发展。</w:t>
      </w:r>
    </w:p>
    <w:p>
      <w:pPr>
        <w:pStyle w:val="Heading3"/>
      </w:pPr>
      <w:r>
        <w:t>对教师教育研究的启示</w:t>
      </w:r>
    </w:p>
    <w:p>
      <w:r>
        <w:t>对教师教育研究的启示：该文提供概念框架，提示后续研究可把‘关系密度化’操作化为教师社会情感专业发展的评估维度，并检验AI协调、推荐、分析、对话代理与情绪AI对信任、导师制、同伴支持、协作、心理安全与孤立感的影响。研究设计上，摘要未提供实证范式，后续可采用混合方法：用问卷测量关系密度、心理安全与福祉，用社会网络分析刻画协作/同伴支持结构，用访谈或焦点小组理解教师体验，并用平台日志分析AI使用模式；同时关注情感数据治理、文化语言差异和批判性AI素养。对学前教育与基础教育教师教育，需注意该文未限定学段，应用时应结合具体学段伦理与课堂情境进行验证。</w:t>
      </w:r>
    </w:p>
    <w:p>
      <w:pPr>
        <w:pStyle w:val="Heading3"/>
      </w:pPr>
      <w:r>
        <w:t>APA引用格式</w:t>
      </w:r>
    </w:p>
    <w:p>
      <w:r>
        <w:t>Aponte, M. L., Vargas Sánchez, A. D., Chiappe, A., &amp; Martínez-Pérez, S. (2026). Artificial and emotional intelligence: Two key forces for teachers' professional development in an era of uncertainty. Frontiers in Psychology. https://doi.org/10.3389/fpsyg.2026.1935683</w:t>
      </w:r>
    </w:p>
    <w:p>
      <w:r>
        <w:br w:type="page"/>
      </w:r>
    </w:p>
    <w:p>
      <w:pPr>
        <w:pStyle w:val="Heading2"/>
      </w:pPr>
      <w:r>
        <w:t>2. The Impact of Digital and Artificial Intelligence Technologies on the Improvement of Foreign Language Listening, Speaking, Reading and Writing Skills: A Meta‐Analysis / 数字与人工智能技术对提升外语听说读写技能的影响：一项元分析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Impact of Digital and Artificial Intelligence Technologies on the Improvement of Foreign Language Listening, Speaking, Reading and Writing Skills: A Meta‐Analysis / 数字与人工智能技术对提升外语听说读写技能的影响：一项元分析</w:t>
            </w:r>
          </w:p>
        </w:tc>
      </w:tr>
      <w:tr>
        <w:tc>
          <w:tcPr>
            <w:tcW w:type="dxa" w:w="4997"/>
          </w:tcPr>
          <w:p>
            <w:r>
              <w:rPr>
                <w:b/>
              </w:rPr>
              <w:t>作者</w:t>
            </w:r>
          </w:p>
        </w:tc>
        <w:tc>
          <w:tcPr>
            <w:tcW w:type="dxa" w:w="4997"/>
          </w:tcPr>
          <w:p>
            <w:r>
              <w:t>Yinong Chen；Lina Wei</w:t>
            </w:r>
          </w:p>
        </w:tc>
      </w:tr>
      <w:tr>
        <w:tc>
          <w:tcPr>
            <w:tcW w:type="dxa" w:w="4997"/>
          </w:tcPr>
          <w:p>
            <w:r>
              <w:rPr>
                <w:b/>
              </w:rPr>
              <w:t>期刊及影响因子</w:t>
            </w:r>
          </w:p>
        </w:tc>
        <w:tc>
          <w:tcPr>
            <w:tcW w:type="dxa" w:w="4997"/>
          </w:tcPr>
          <w:p>
            <w:r>
              <w:t>SSCI分类：Education &amp; Educational Research, English；影响因子：白名单未提供影响因子；JCR分区：白名单未提供JCR分区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WILEY</w:t>
            </w:r>
          </w:p>
        </w:tc>
      </w:tr>
      <w:tr>
        <w:tc>
          <w:tcPr>
            <w:tcW w:type="dxa" w:w="4997"/>
          </w:tcPr>
          <w:p>
            <w:r>
              <w:rPr>
                <w:b/>
              </w:rPr>
              <w:t>卷期/DOI</w:t>
            </w:r>
          </w:p>
        </w:tc>
        <w:tc>
          <w:tcPr>
            <w:tcW w:type="dxa" w:w="4997"/>
          </w:tcPr>
          <w:p>
            <w:r>
              <w:t>卷期未说明；DOI: https://doi.org/10.1002/jcal.70325</w:t>
            </w:r>
          </w:p>
        </w:tc>
      </w:tr>
      <w:tr>
        <w:tc>
          <w:tcPr>
            <w:tcW w:type="dxa" w:w="4997"/>
          </w:tcPr>
          <w:p>
            <w:r>
              <w:rPr>
                <w:b/>
              </w:rPr>
              <w:t>在线发表时间</w:t>
            </w:r>
          </w:p>
        </w:tc>
        <w:tc>
          <w:tcPr>
            <w:tcW w:type="dxa" w:w="4997"/>
          </w:tcPr>
          <w:p>
            <w:r>
              <w:t>2026-09-08</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0">
              <w:r>
                <w:rPr>
                  <w:color w:val="0563C1"/>
                  <w:u w:val="single"/>
                </w:rPr>
                <w:t>https://doi.org/10.1002/jcal.70325</w:t>
              </w:r>
            </w:hyperlink>
          </w:p>
        </w:tc>
      </w:tr>
    </w:tbl>
    <w:p>
      <w:pPr>
        <w:pStyle w:val="Heading3"/>
      </w:pPr>
      <w:r>
        <w:t>研究摘要</w:t>
      </w:r>
    </w:p>
    <w:p>
      <w:r>
        <w:t>随着教育技术不断发展，数字与人工智能技术在外语学习中的应用逐渐成为提升语言技能的有效手段。它们通过个性化反馈、智能学习支持和即时互动，被广泛用于培养听、说、读、写等外语技能。然而，已有元分析多关注单一技术或单一语言技能，缺乏对不同技术提升语言技能综合影响的系统评估。本研究通过元分析系统评估数字与AI技术对外语听说读写技能提升的总体效应，并考察不同技术类型、教育水平和干预条件下的调节效应。研究整合2014—2025年发表的40项相关实证研究，共3367名参与者，计算标准化均数差（SMD），采用随机效应模型估计总体效应量，并分析调节变量。结果显示，数字与AI技术对外语能力具有显著正向影响，总体效应量为0.962，属于大效应；研究设计、干预时长和技术使用数量存在显著组间差异，而语言技能类型、教育水平、样本量、学习环境和游戏技术类型等未显示显著组间差异。研究结论强调，技术效果不应简单归因于某一技术类型、语言技能类别或学习环境，研究设计、干预时长和多技术组合方式可能影响干预效果估计。</w:t>
      </w:r>
    </w:p>
    <w:p>
      <w:pPr>
        <w:pStyle w:val="Heading3"/>
      </w:pPr>
      <w:r>
        <w:t>研究主要内容</w:t>
      </w:r>
    </w:p>
    <w:p>
      <w:r>
        <w:t>该文是一项元分析，旨在综合评估数字与人工智能技术对外语听、说、读、写技能提升的整体影响。背景指出，数字与AI技术已通过个性化反馈、智能学习支持和即时互动等方式广泛进入外语学习，但已有元分析多聚焦单一技术或单一语言技能，缺少对多种技术综合影响的系统评估。研究目标包括揭示这些技术对外语听说读写技能提升的总体影响，并探索相关差异与关键影响因素。方法上，研究整合2014—2025年发表的40项相关实证研究，涵盖3367名参与者，计算标准化均数差（SMD），使用随机效应模型估计总体效应量，并分析样本分层、学习结果、研究设计、技术类型等调节变量。结果显示，数字与AI技术对外语能力有显著正向影响，总体效应量为0.962，属大效应；研究设计、干预时长和技术使用数量存在显著组间差异；语言技能类型、教育水平、样本量、学习环境和技术类型等未发现显著组间差异。结论指出，技术干预效果不应简单归因于特定技术类型、语言技能类别或学习环境，研究设计、干预时长和多技术组合方式可能影响效果估计。</w:t>
      </w:r>
    </w:p>
    <w:p>
      <w:pPr>
        <w:pStyle w:val="Heading3"/>
      </w:pPr>
      <w:r>
        <w:t>研究论点</w:t>
      </w:r>
    </w:p>
    <w:p>
      <w:r>
        <w:t>论文主张，已有元分析多关注单一技术或单一语言技能，无法系统说明数字与AI技术对外语听说读写技能的综合影响；因此需要通过元分析整合实证证据，并检验技术类型、教育水平、干预条件等调节变量。其核心论点是：数字与AI技术整体上能有效支持外语听说读写技能发展，但效果不能简单归因于某一技术类型、语言技能类别或学习环境；研究设计、干预时长以及多种技术的组合方式可能影响干预效果估计，更长干预或使用更多技术并不必然带来更好学习结果。</w:t>
      </w:r>
    </w:p>
    <w:p>
      <w:pPr>
        <w:pStyle w:val="Heading3"/>
      </w:pPr>
      <w:r>
        <w:t>研究问题</w:t>
      </w:r>
    </w:p>
    <w:p>
      <w:r>
        <w:t>本研究旨在通过元分析系统评估数字与AI技术对外语听说读写技能提升的总体效应，尤其考察不同技术类型、教育水平和干预条件下的调节效应；研究目标是揭示这些技术对外语听说读写技能提升的总体影响，并探索相关差异和关键影响因素。</w:t>
      </w:r>
    </w:p>
    <w:p>
      <w:pPr>
        <w:pStyle w:val="Heading3"/>
      </w:pPr>
      <w:r>
        <w:t>研究方法</w:t>
      </w:r>
    </w:p>
    <w:p>
      <w:r>
        <w:t>研究类型：定量研究，具体为元分析（meta-analysis）。样本或参与者：整合2014—2025年发表的40项相关实证研究，共3367名参与者；具体学段、年龄、国家/地区、外语语种以及学前教育、小学、初中等具体教育阶段分布摘要未说明。数据来源：40项已发表的相关实证研究。分析方法：计算标准化均数差（SMD），采用随机效应模型估计总体效应量；分析调节变量，包括样本分层、学习结果、研究设计、技术类型，并在结果中报告语言技能类型、教育水平、样本量、学习环境、干预时长和所用技术数量等调节效应。检索数据库、检索策略、纳入排除标准、编码流程、异质性检验、发表偏倚检验等摘要未说明。</w:t>
      </w:r>
    </w:p>
    <w:p>
      <w:pPr>
        <w:pStyle w:val="Heading3"/>
      </w:pPr>
      <w:r>
        <w:t>主要发现</w:t>
      </w:r>
    </w:p>
    <w:p>
      <w:r>
        <w:t>1. 数字与AI技术对外语能力提升具有显著正向影响，总体效应量为0.962，属于大效应。2. 研究设计、干预时长和技术使用数量存在显著组间差异；但语言技能类型（听、说、读、写）、教育水平、样本量、学习环境和技术类型未显示显著组间差异。听、说、读、写各子组均呈现正向效果，但技能类别之间差异不显著；AI技术与一般数字技术均显示显著正向效果，但二者组间差异不显著。3. 干预时长和技术使用数量的相关效应需谨慎解释，因为模式并非线性，且部分子组研究数量较少；更长干预时长或使用更多技术不一定带来更好学习结果。效果不应简单归因于特定技术类型、语言技能类别或学习环境，而应结合教学目标、学习者特征和具体实施条件理解。</w:t>
      </w:r>
    </w:p>
    <w:p>
      <w:pPr>
        <w:pStyle w:val="Heading3"/>
      </w:pPr>
      <w:r>
        <w:t>对教师教育研究的启示</w:t>
      </w:r>
    </w:p>
    <w:p>
      <w:r>
        <w:t>该研究并非直接针对教师教育干预，以下为对教师教育研究的方法学与主题启示：1. 主题上，AI与数字技术支持语言学习的证据已较丰富，但研究不应只问“某技术是否有效”，而应转向“在何种教学设计、干预时长、技术组合与实施条件下有效”。2. 设计上，未来教师教育研究可采用元分析或系统综述整合AI教学应用、教师数字素养/智能素养/数据素养、教师教育与教师培训中的AI整合等实证研究，并明确学段（尤其学前教育与基础教育）、样本、干预设计、对照条件和数据来源。3. 方法上，应规范报告效应量（如SMD）、随机效应模型、异质性、调节效应和子组研究数量；编码时纳入研究设计、干预时长、技术数量、学习环境、教育阶段等变量，避免将效果简单归因于技术本身。4. 对教师培训实践研究，需检验技术干预与教学目标、学习者特征、教师实施条件的匹配，而非默认更长干预或更多技术必然更好。</w:t>
      </w:r>
    </w:p>
    <w:p>
      <w:pPr>
        <w:pStyle w:val="Heading3"/>
      </w:pPr>
      <w:r>
        <w:t>APA引用格式</w:t>
      </w:r>
    </w:p>
    <w:p>
      <w:r>
        <w:t>Chen, Y., &amp; Wei, L. (2026). The impact of digital and artificial intelligence technologies on the improvement of foreign language listening, speaking, reading and writing skills: A meta-analysis. Journal of Computer Assisted Learning. https://doi.org/10.1002/jcal.70325</w:t>
      </w:r>
    </w:p>
    <w:p>
      <w:r>
        <w:br w:type="page"/>
      </w:r>
    </w:p>
    <w:p>
      <w:pPr>
        <w:pStyle w:val="Heading2"/>
      </w:pPr>
      <w:r>
        <w:t>3. Training to Protect Research Integrity in the Age of AI-assisted Coding / AI辅助编码时代保护科研诚信的培训</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Training to Protect Research Integrity in the Age of AI-assisted Coding / AI辅助编码时代保护科研诚信的培训</w:t>
            </w:r>
          </w:p>
        </w:tc>
      </w:tr>
      <w:tr>
        <w:tc>
          <w:tcPr>
            <w:tcW w:type="dxa" w:w="4997"/>
          </w:tcPr>
          <w:p>
            <w:r>
              <w:rPr>
                <w:b/>
              </w:rPr>
              <w:t>作者</w:t>
            </w:r>
          </w:p>
        </w:tc>
        <w:tc>
          <w:tcPr>
            <w:tcW w:type="dxa" w:w="4997"/>
          </w:tcPr>
          <w:p>
            <w:r>
              <w:t>Philippa Broadbent, T. Mark Hodges, Halford J. W. Dace, Alexander Garzón, Olav Vahtras</w:t>
            </w:r>
          </w:p>
        </w:tc>
      </w:tr>
      <w:tr>
        <w:tc>
          <w:tcPr>
            <w:tcW w:type="dxa" w:w="4997"/>
          </w:tcPr>
          <w:p>
            <w:r>
              <w:rPr>
                <w:b/>
              </w:rPr>
              <w:t>期刊及影响因子</w:t>
            </w:r>
          </w:p>
        </w:tc>
        <w:tc>
          <w:tcPr>
            <w:tcW w:type="dxa" w:w="4997"/>
          </w:tcPr>
          <w:p>
            <w:r>
              <w:t>来源为Zenodo（CERN European Organization for Nuclear Research）；白名单未提供影响因子，白名单未提供JCR分区；SSCI分类标注为Management。该文献为RSECon26会议海报摘要，非传统SSCI期刊论文。</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卷期缺失；DOI: https://doi.org/10.5281/zenodo.22306521</w:t>
            </w:r>
          </w:p>
        </w:tc>
      </w:tr>
      <w:tr>
        <w:tc>
          <w:tcPr>
            <w:tcW w:type="dxa" w:w="4997"/>
          </w:tcPr>
          <w:p>
            <w:r>
              <w:rPr>
                <w:b/>
              </w:rPr>
              <w:t>在线发表时间</w:t>
            </w:r>
          </w:p>
        </w:tc>
        <w:tc>
          <w:tcPr>
            <w:tcW w:type="dxa" w:w="4997"/>
          </w:tcPr>
          <w:p>
            <w:r>
              <w:t>2026-09-09</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1">
              <w:r>
                <w:rPr>
                  <w:color w:val="0563C1"/>
                  <w:u w:val="single"/>
                </w:rPr>
                <w:t>https://doi.org/10.5281/zenodo.22306521</w:t>
              </w:r>
            </w:hyperlink>
          </w:p>
        </w:tc>
      </w:tr>
    </w:tbl>
    <w:p>
      <w:pPr>
        <w:pStyle w:val="Heading3"/>
      </w:pPr>
      <w:r>
        <w:t>研究摘要</w:t>
      </w:r>
    </w:p>
    <w:p>
      <w:r>
        <w:t>本摘要为2026年9月9—11日在英国谢菲尔德举行的第10届研究软件工程会议（RSECon26）海报。生成式AI工具用于生成源代码或增强程序员自有代码，在研究软件开发中日益普遍。尽管关于生产力提升的证据远未定论，但大语言模型能够生成相对大量可运行源代码已少有疑问。该技术的可用性对研究产生深远影响，包括研究软件的开发与维护。随着采用增长，RSE社区需要采取主动、多层面的应对，包括通过更新培训项目来确保研究诚信。本报告将总结AI Carpentry项目正在采取的方法，即围绕研究计算技能（包括研究软件工程）的培训与教育开发与交付，建设一个实践社区。我们将概述已创建的课程，以帮助研究者和RSEs就是否以及如何在研究软件开发中使用LLM做出知情决策，并反思近期在工作坊中教授这些课程的经验。我们将讨论在快速变化的技术环境中开发培训所面临的一些挑战，以及AI Carpentry应对它们的计划。我们还将探讨教授使用大语言模型与保持与The Carpentries核心价值观一致之间的张力。</w:t>
      </w:r>
    </w:p>
    <w:p>
      <w:pPr>
        <w:pStyle w:val="Heading3"/>
      </w:pPr>
      <w:r>
        <w:t>研究主要内容</w:t>
      </w:r>
    </w:p>
    <w:p>
      <w:r>
        <w:t>该文献是RSECon26会议海报/报告摘要，非学前教育或基础教育研究。核心内容：生成式AI和LLM在研究软件开发中日益用于生成或增强源代码；RSE社区需以主动、多层面方式回应研究诚信风险，培训更新是其中一环；AI Carpentry项目通过建设实践社区、开发课程和开展工作坊，帮助研究者和RSEs判断是否及如何使用LLM开发研究软件；同时反思快速技术变化下的培训挑战，以及LLM教学与The Carpentries核心价值观之间的张力。摘要未提供实证样本、数据或分析结果。</w:t>
      </w:r>
    </w:p>
    <w:p>
      <w:pPr>
        <w:pStyle w:val="Heading3"/>
      </w:pPr>
      <w:r>
        <w:t>研究论点</w:t>
      </w:r>
    </w:p>
    <w:p>
      <w:r>
        <w:t>论文主张：随着AI辅助编码在研究软件开发中普及，仅关注生产力或工具使用不足，RSE社区必须主动、多层面地保护研究诚信；培训项目和教育课程应帮助研究者和RSEs对LLM使用作出知情决策；AI Carpentry通过实践社区和课程开发来落实这一主张，并需处理快速技术变化与The Carpentries核心价值观之间的张力。</w:t>
      </w:r>
    </w:p>
    <w:p>
      <w:pPr>
        <w:pStyle w:val="Heading3"/>
      </w:pPr>
      <w:r>
        <w:t>研究问题</w:t>
      </w:r>
    </w:p>
    <w:p>
      <w:r>
        <w:t>摘要未明确列出研究问题。其关注点可概括为：在研究软件开发中，如何通过培训和教育帮助研究者和RSEs在AI辅助编码时保护研究诚信；如何围绕研究计算技能建设实践社区并开发适应快速技术变化的课程；如何在教授LLM使用时保持与The Carpentries核心价值观一致。以上为根据摘要的概括，非摘要明确陈述的研究问题。</w:t>
      </w:r>
    </w:p>
    <w:p>
      <w:pPr>
        <w:pStyle w:val="Heading3"/>
      </w:pPr>
      <w:r>
        <w:t>研究方法</w:t>
      </w:r>
    </w:p>
    <w:p>
      <w:r>
        <w:t>研究类型：摘要未说明为定量、定性或混合方法；该文献为会议海报/报告摘要，未呈现实证研究设计。样本或参与者：摘要未说明。数据来源：摘要未说明；仅说明将总结AI Carpentry项目方法、概述课程，并反思近期工作坊教学经验。分析方法：摘要未说明。缺失信息包括具体样本量、参与者特征、数据收集工具、数据分析和效度/信度策略。</w:t>
      </w:r>
    </w:p>
    <w:p>
      <w:pPr>
        <w:pStyle w:val="Heading3"/>
      </w:pPr>
      <w:r>
        <w:t>主要发现</w:t>
      </w:r>
    </w:p>
    <w:p>
      <w:r>
        <w:t>1. 生成式AI工具在研究软件开发中用于生成源代码或增强程序员代码已日益普遍；关于生产力提升的证据尚未定论，但大语言模型能够生成相对大量可运行源代码已较少疑问。2. AI Carpentry项目通过建设实践社区，开发并交付研究计算技能（包括研究软件工程）的培训与教育；已创建课程帮助研究者和RSEs决定是否以及如何在研究软件开发中使用LLM，并已在工作坊中教学。3. 此类培训面临快速变化技术环境的挑战，并存在教授LLM使用与坚持The Carpentries核心价值观之间的张力；AI Carpentry提出了应对计划。摘要未报告实证干预效果或量化结果。</w:t>
      </w:r>
    </w:p>
    <w:p>
      <w:pPr>
        <w:pStyle w:val="Heading3"/>
      </w:pPr>
      <w:r>
        <w:t>对教师教育研究的启示</w:t>
      </w:r>
    </w:p>
    <w:p>
      <w:r>
        <w:t>该文献不直接涉及学前教育或基础教育，也不直接研究教师教育中的AI整合，因此对教师教育研究的直接启示有限。可迁移的启示有：第一，教师AI素养培训可借鉴AI Carpentry的实践社区模式，将课程开发、工作坊教学和同行社区结合，形成持续更新的培训生态。第二，在AI工具快速变化背景下，教师教育课程需建立定期更新机制，并明确学术诚信、数据伦理和AI使用边界。第三，若要在学前教育或基础教育中研究AI教学应用、教师数字素养/智能素养/数据素养，应明确采用定量、定性或混合方法，报告样本、数据来源、工具和分析方法；该摘要未提供此类实证数据，不能作为教师教育干预效果的证据。</w:t>
      </w:r>
    </w:p>
    <w:p>
      <w:pPr>
        <w:pStyle w:val="Heading3"/>
      </w:pPr>
      <w:r>
        <w:t>APA引用格式</w:t>
      </w:r>
    </w:p>
    <w:p>
      <w:r>
        <w:t>Broadbent, P., Hodges, T. M., Dace, H. J. W., Garzón, A., &amp; Vahtras, O. (2026). Training to Protect Research Integrity in the Age of AI-assisted Coding. Zenodo. https://doi.org/10.5281/zenodo.22306521</w:t>
      </w:r>
    </w:p>
    <w:p>
      <w:r>
        <w:br w:type="page"/>
      </w:r>
    </w:p>
    <w:p>
      <w:pPr>
        <w:pStyle w:val="Heading2"/>
      </w:pPr>
      <w:r>
        <w:t>4. Training to Protect Research Integrity in the Age of AI-assisted Coding / 面向AI辅助编程时代的研究诚信保护培训</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Training to Protect Research Integrity in the Age of AI-assisted Coding / 面向AI辅助编程时代的研究诚信保护培训</w:t>
            </w:r>
          </w:p>
        </w:tc>
      </w:tr>
      <w:tr>
        <w:tc>
          <w:tcPr>
            <w:tcW w:type="dxa" w:w="4997"/>
          </w:tcPr>
          <w:p>
            <w:r>
              <w:rPr>
                <w:b/>
              </w:rPr>
              <w:t>作者</w:t>
            </w:r>
          </w:p>
        </w:tc>
        <w:tc>
          <w:tcPr>
            <w:tcW w:type="dxa" w:w="4997"/>
          </w:tcPr>
          <w:p>
            <w:r>
              <w:t>Philippa Broadbent, T. Mark Hodges, Halford J. W. Dace, Alexander Garzón, Olav Vahtras</w:t>
            </w:r>
          </w:p>
        </w:tc>
      </w:tr>
      <w:tr>
        <w:tc>
          <w:tcPr>
            <w:tcW w:type="dxa" w:w="4997"/>
          </w:tcPr>
          <w:p>
            <w:r>
              <w:rPr>
                <w:b/>
              </w:rPr>
              <w:t>期刊及影响因子</w:t>
            </w:r>
          </w:p>
        </w:tc>
        <w:tc>
          <w:tcPr>
            <w:tcW w:type="dxa" w:w="4997"/>
          </w:tcPr>
          <w:p>
            <w:r>
              <w:t>期刊：Zenodo (CERN European Organization for Nuclear Research)；元数据标注SSCI分类：Management；白名单未提供影响因子，白名单未提供JCR分区。该摘要为第10届研究软件工程会议（RSECon26）的海报/报告摘要，非传统期刊论文全文。</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卷期缺失；DOI: https://doi.org/10.5281/zenodo.22303690；链接同DOI。</w:t>
            </w:r>
          </w:p>
        </w:tc>
      </w:tr>
      <w:tr>
        <w:tc>
          <w:tcPr>
            <w:tcW w:type="dxa" w:w="4997"/>
          </w:tcPr>
          <w:p>
            <w:r>
              <w:rPr>
                <w:b/>
              </w:rPr>
              <w:t>在线发表时间</w:t>
            </w:r>
          </w:p>
        </w:tc>
        <w:tc>
          <w:tcPr>
            <w:tcW w:type="dxa" w:w="4997"/>
          </w:tcPr>
          <w:p>
            <w:r>
              <w:t>2026-09-09</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2">
              <w:r>
                <w:rPr>
                  <w:color w:val="0563C1"/>
                  <w:u w:val="single"/>
                </w:rPr>
                <w:t>https://doi.org/10.5281/zenodo.22303690</w:t>
              </w:r>
            </w:hyperlink>
          </w:p>
        </w:tc>
      </w:tr>
    </w:tbl>
    <w:p>
      <w:pPr>
        <w:pStyle w:val="Heading3"/>
      </w:pPr>
      <w:r>
        <w:t>研究摘要</w:t>
      </w:r>
    </w:p>
    <w:p>
      <w:r>
        <w:t>该摘要是第10届研究软件工程会议（RSECon26，英国谢菲尔德，2026年9月9-11日）的海报/报告摘要。生成式AI工具用于生成源代码或增强程序员自身代码，在研究软件开发中日益普遍；虽然生产率提升的证据尚不明确，但大语言模型能够生成相对大量可运行源代码已较无疑问。该技术对研究及研究软件的开发与维护具有深远影响。随着采用增加，RSE社区需要主动、多方面的回应，包括更新培训项目，以确保研究诚信。报告将总结AI Carpentry项目通过建设实践共同体来开发与交付研究计算技能（含研究软件工程）培训与教育的方法；概述其创建的课程，帮助研究人员和RSE就“是否以及如何在研究软件开发中使用LLM”做出知情决策；反思近期工作坊教学经验；讨论快速变化技术环境中培训开发的挑战及AI Carpentry的应对计划；并探讨教授LLM使用与坚持The Carpentries核心价值观之间的张力。</w:t>
      </w:r>
    </w:p>
    <w:p>
      <w:pPr>
        <w:pStyle w:val="Heading3"/>
      </w:pPr>
      <w:r>
        <w:t>研究主要内容</w:t>
      </w:r>
    </w:p>
    <w:p>
      <w:r>
        <w:t>围绕AI辅助编程在研究软件开发中的普及，讨论研究诚信风险与RSE社区应对；介绍AI Carpentry项目如何建立实践共同体，开发并讲授课程，帮助研究人员和RSE判断是否及如何使用LLM；分享工作坊教学经验、快速变化技术环境中的培训挑战，以及如何与The Carpentries核心价值观保持一致的张力。</w:t>
      </w:r>
    </w:p>
    <w:p>
      <w:pPr>
        <w:pStyle w:val="Heading3"/>
      </w:pPr>
      <w:r>
        <w:t>研究论点</w:t>
      </w:r>
    </w:p>
    <w:p>
      <w:r>
        <w:t>生成式AI/LLM已能生成大量可运行源代码，在研究软件中日益普及；尽管生产率收益证据未定，但其对研究及研究软件维护有深远影响，因此RSE社区需要主动、多方面的回应，包括更新培训项目，以保护研究诚信。</w:t>
      </w:r>
    </w:p>
    <w:p>
      <w:pPr>
        <w:pStyle w:val="Heading3"/>
      </w:pPr>
      <w:r>
        <w:t>研究问题</w:t>
      </w:r>
    </w:p>
    <w:p>
      <w:r>
        <w:t>摘要未明确提出研究问题或假设。其核心议题为：AI辅助编程时代如何通过培训保护研究诚信，以及如何围绕LLM在研究软件开发中的使用开发课程与教学。</w:t>
      </w:r>
    </w:p>
    <w:p>
      <w:pPr>
        <w:pStyle w:val="Heading3"/>
      </w:pPr>
      <w:r>
        <w:t>研究方法</w:t>
      </w:r>
    </w:p>
    <w:p>
      <w:r>
        <w:t>研究类型：非实证研究，属于会议海报/报告摘要与项目经验介绍；未采用定量、定性或混合方法。样本/参与者：摘要未说明。数据来源：AI Carpentry项目的课程开发与工作坊教学经验、项目计划。分析方法：摘要未说明；无统计或质性分析描述。整体可归为项目介绍、课程设计概述与教学反思。</w:t>
      </w:r>
    </w:p>
    <w:p>
      <w:pPr>
        <w:pStyle w:val="Heading3"/>
      </w:pPr>
      <w:r>
        <w:t>主要发现</w:t>
      </w:r>
    </w:p>
    <w:p>
      <w:r>
        <w:t>1. 生成式AI工具生成或增强源代码在研究软件开发中越来越普遍；LLM能生成相对大量可运行代码，但生产率提升的证据尚不充分。2. 该技术对研究及研究软件的开发与维护有深远影响，RSE社区需采取主动、多方面的应对，包括更新培训项目以保障研究诚信。3. AI Carpentry项目通过建设实践共同体、开发课程并开展工作坊教学，帮助研究人员和RSE就“是否及如何使用LLM开发研究软件”做出知情决策；同时面临技术快速变化和与The Carpentries核心价值观保持一致的挑战。</w:t>
      </w:r>
    </w:p>
    <w:p>
      <w:pPr>
        <w:pStyle w:val="Heading3"/>
      </w:pPr>
      <w:r>
        <w:t>对教师教育研究的启示</w:t>
      </w:r>
    </w:p>
    <w:p>
      <w:r>
        <w:t>该摘要不直接涉及学前教育、小学、初中或学校教师教育，也未涉及学校教师数字素养/智能素养/数据素养。可迁移启示：在教师AI素养培训研究中，可借鉴其围绕高风险专业场景中的LLM使用决策、研究/学术诚信、社区实践和课程迭代来设计培训。研究设计上，该摘要属于项目案例/课程开发/教学反思，未提供参与者样本、数据收集工具和分析方法；若用于教师教育实证研究，应补充明确样本、数据来源（如前后测、访谈、课堂观察、作品分析）及分析方法，并验证其对基础教育教师培训的效果。</w:t>
      </w:r>
    </w:p>
    <w:p>
      <w:pPr>
        <w:pStyle w:val="Heading3"/>
      </w:pPr>
      <w:r>
        <w:t>APA引用格式</w:t>
      </w:r>
    </w:p>
    <w:p>
      <w:r>
        <w:t>Broadbent, P., Hodges, T. M., Dace, H. J. W., Garzón, A., &amp; Vahtras, O. (2026, September 9–11). Training to protect research integrity in the age of AI-assisted coding [Poster presentation]. 10th Research Software Engineering Conference (RSECon26), Sheffield, UK. Zenodo. https://doi.org/10.5281/zenodo.22303690</w:t>
      </w:r>
    </w:p>
    <w:p>
      <w:r>
        <w:br w:type="page"/>
      </w:r>
    </w:p>
    <w:p>
      <w:pPr>
        <w:pStyle w:val="Heading2"/>
      </w:pPr>
      <w:r>
        <w:t>5. Training to Protect Research Integrity in the Age of AI-assisted Coding / AI辅助编码时代保护科研诚信的培训</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Training to Protect Research Integrity in the Age of AI-assisted Coding / AI辅助编码时代保护科研诚信的培训</w:t>
            </w:r>
          </w:p>
        </w:tc>
      </w:tr>
      <w:tr>
        <w:tc>
          <w:tcPr>
            <w:tcW w:type="dxa" w:w="4997"/>
          </w:tcPr>
          <w:p>
            <w:r>
              <w:rPr>
                <w:b/>
              </w:rPr>
              <w:t>作者</w:t>
            </w:r>
          </w:p>
        </w:tc>
        <w:tc>
          <w:tcPr>
            <w:tcW w:type="dxa" w:w="4997"/>
          </w:tcPr>
          <w:p>
            <w:r>
              <w:t>Philippa Broadbent, T. Mark Hodges, Halford J. W. Dace, Alexander Garzón, Olav Vahtras</w:t>
            </w:r>
          </w:p>
        </w:tc>
      </w:tr>
      <w:tr>
        <w:tc>
          <w:tcPr>
            <w:tcW w:type="dxa" w:w="4997"/>
          </w:tcPr>
          <w:p>
            <w:r>
              <w:rPr>
                <w:b/>
              </w:rPr>
              <w:t>期刊及影响因子</w:t>
            </w:r>
          </w:p>
        </w:tc>
        <w:tc>
          <w:tcPr>
            <w:tcW w:type="dxa" w:w="4997"/>
          </w:tcPr>
          <w:p>
            <w:r>
              <w:t>期刊/平台：Zenodo（CERN European Organization for Nuclear Research）；元数据标注SSCI分类：Management；影响因子/分区：白名单未提供影响因子，白名单未提供JCR分区。摘要显示该文献为RSECon26会议海报，非典型SSCI期刊实证论文。</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卷期：摘要与元数据未说明；DOI：https://doi.org/10.5281/zenodo.22303691</w:t>
            </w:r>
          </w:p>
        </w:tc>
      </w:tr>
      <w:tr>
        <w:tc>
          <w:tcPr>
            <w:tcW w:type="dxa" w:w="4997"/>
          </w:tcPr>
          <w:p>
            <w:r>
              <w:rPr>
                <w:b/>
              </w:rPr>
              <w:t>在线发表时间</w:t>
            </w:r>
          </w:p>
        </w:tc>
        <w:tc>
          <w:tcPr>
            <w:tcW w:type="dxa" w:w="4997"/>
          </w:tcPr>
          <w:p>
            <w:r>
              <w:t>2026-09-09</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3">
              <w:r>
                <w:rPr>
                  <w:color w:val="0563C1"/>
                  <w:u w:val="single"/>
                </w:rPr>
                <w:t>https://doi.org/10.5281/zenodo.22303691</w:t>
              </w:r>
            </w:hyperlink>
          </w:p>
        </w:tc>
      </w:tr>
    </w:tbl>
    <w:p>
      <w:pPr>
        <w:pStyle w:val="Heading3"/>
      </w:pPr>
      <w:r>
        <w:t>研究摘要</w:t>
      </w:r>
    </w:p>
    <w:p>
      <w:r>
        <w:t>该文献是第10届研究软件工程会议（RSECon26）的海报摘要。摘要指出，生成式AI工具在研究软件开发中用于生成源代码或增强程序员代码已越来越普遍；虽然生产率提升证据尚未定论，但大语言模型能够生成相对大量可运行源代码。该技术对研究，尤其对研究软件的开发与维护，具有深远影响。随着采用增加，RSE社群需要主动、多方面回应，包括更新培训项目，以保障研究诚信。报告将总结AI Carpentry项目的方法，即围绕研究计算技能（包括研究软件工程）的培训与教育开发与交付，建立实践社群；概述其课程，帮助研究者和RSE就是否以及如何在研究软件开发中使用LLM做出知情决策；反思近期工作坊教学经验；讨论快速变化技术景观下开发培训的挑战及AI Carpentry的应对计划；并探讨教授使用LLM与保持The Carpentries核心价值观之间的张力。</w:t>
      </w:r>
    </w:p>
    <w:p>
      <w:pPr>
        <w:pStyle w:val="Heading3"/>
      </w:pPr>
      <w:r>
        <w:t>研究主要内容</w:t>
      </w:r>
    </w:p>
    <w:p>
      <w:r>
        <w:t>文献为会议报告/海报摘要，非实证研究。核心内容是介绍AI Carpentry项目如何在AI辅助编码普及的背景下，通过实践社群、课程开发和工作坊教学，为研究者和研究软件工程师提供关于LLM使用的培训，以保护研究诚信。摘要还讨论培训在快速变化技术环境中的挑战，以及AI工具教学与Carpentries核心价值观之间的张力。</w:t>
      </w:r>
    </w:p>
    <w:p>
      <w:pPr>
        <w:pStyle w:val="Heading3"/>
      </w:pPr>
      <w:r>
        <w:t>研究论点</w:t>
      </w:r>
    </w:p>
    <w:p>
      <w:r>
        <w:t>生成式AI辅助编码已广泛进入研究软件开发，对研究软件维护和研究诚信产生深远影响；因此RSE社群不能被动应对，而需通过更新培训、建立实践社群和开发课程，帮助研究者与RSE做出知情、合乎伦理的LLM使用决策。与此同时，培训必须处理技术快速变化和与Carpentries核心价值观保持一致之间的张力。</w:t>
      </w:r>
    </w:p>
    <w:p>
      <w:pPr>
        <w:pStyle w:val="Heading3"/>
      </w:pPr>
      <w:r>
        <w:t>研究问题</w:t>
      </w:r>
    </w:p>
    <w:p>
      <w:r>
        <w:t>摘要未明确说明研究问题。可识别的核心议题是：在AI辅助编码时代，如何通过培训和教育保护科研诚信；AI Carpentry如何围绕研究计算技能（包括RSE）建立实践社群、开发课程并开展工作坊教学；以及如何应对快速技术变化和与The Carpentries核心价值观之间的张力。</w:t>
      </w:r>
    </w:p>
    <w:p>
      <w:pPr>
        <w:pStyle w:val="Heading3"/>
      </w:pPr>
      <w:r>
        <w:t>研究方法</w:t>
      </w:r>
    </w:p>
    <w:p>
      <w:r>
        <w:t>研究类型：摘要未说明为定量、定性或混合方法；从摘要看，该文献是RSECon26会议海报/报告摘要，属于项目经验总结与课程实践反思，而非实证研究。样本或参与者：摘要未说明具体样本、参与者数量或招募方式；仅提及面向研究者和RSE的培训与工作坊。数据来源：摘要未说明系统数据来源；内容基于AI Carpentry项目的课程开发、培训交付和工作坊教学经验。分析方法：摘要未说明分析方法、评估设计或数据编码过程。缺失说明：无样本、数据收集程序、分析技术、信效度或伦理审查信息。</w:t>
      </w:r>
    </w:p>
    <w:p>
      <w:pPr>
        <w:pStyle w:val="Heading3"/>
      </w:pPr>
      <w:r>
        <w:t>主要发现</w:t>
      </w:r>
    </w:p>
    <w:p>
      <w:r>
        <w:t>1. 背景判断：生成式AI工具在研究软件开发中用于生成或增强源代码日益普遍；LLM可生成相对大量可运行代码，但生产率提升的证据尚未定论。2. 项目行动：AI Carpentry项目通过建立实践社群，开发并交付研究计算技能培训（包括研究软件工程），以回应AI辅助编码对研究诚信的挑战。3. 课程与张力：已创建课程帮助研究者和RSE就是否及如何在研究软件开发中使用LLM做出知情决策，并已在工作坊中教学；报告将反思教学经验，讨论快速技术变化下的培训挑战，以及教授LLM使用与保持The Carpentries核心价值观之间的张力。摘要未报告培训效果、学员变化或实证评估结果。</w:t>
      </w:r>
    </w:p>
    <w:p>
      <w:pPr>
        <w:pStyle w:val="Heading3"/>
      </w:pPr>
      <w:r>
        <w:t>对教师教育研究的启示</w:t>
      </w:r>
    </w:p>
    <w:p>
      <w:r>
        <w:t>该文献不直接针对学前教育或基础教育，也不直接讨论AI教学应用、教师数字素养或教师培训中的AI整合，但其主题对教师教育研究有间接启示：第一，AI工具使用培训不能只教技术操作，还应嵌入研究诚信、伦理判断和知情决策，这对教师AI素养培训同样重要。第二，可通过实践社群（Community of Practice）连接课程开发、工作坊教学和持续更新，为教师教育中的AI整合提供组织模式。第三，在技术快速变化背景下，教师AI培训需持续迭代，并处理工具使用与教育核心价值之间的张力。研究设计上，本文仅为经验总结/会议报告，未提供实证数据、样本或分析方法；若用于教师教育研究，可借鉴其问题意识，但需补充定量、定性或混合方法的实证评估，例如前后测、课堂观察、访谈、日志分析、课程作品分析等，以检验教师AI培训对知识、信念与实践的影响。</w:t>
      </w:r>
    </w:p>
    <w:p>
      <w:pPr>
        <w:pStyle w:val="Heading3"/>
      </w:pPr>
      <w:r>
        <w:t>APA引用格式</w:t>
      </w:r>
    </w:p>
    <w:p>
      <w:r>
        <w:t>Broadbent, P., Hodges, T. M., Dace, H. J. W., Garzón, A., &amp; Vahtras, O. (2026, September 9–11). Training to protect research integrity in the age of AI-assisted coding [Poster presentation]. 10th Research Software Engineering Conference (RSECon26), Sheffield, UK. Zenodo. https://doi.org/10.5281/zenodo.22303691</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107.95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89/fpsyg.2026.1935683" TargetMode="External"/><Relationship Id="rId10" Type="http://schemas.openxmlformats.org/officeDocument/2006/relationships/hyperlink" Target="https://doi.org/10.1002/jcal.70325" TargetMode="External"/><Relationship Id="rId11" Type="http://schemas.openxmlformats.org/officeDocument/2006/relationships/hyperlink" Target="https://doi.org/10.5281/zenodo.22306521" TargetMode="External"/><Relationship Id="rId12" Type="http://schemas.openxmlformats.org/officeDocument/2006/relationships/hyperlink" Target="https://doi.org/10.5281/zenodo.22303690" TargetMode="External"/><Relationship Id="rId13" Type="http://schemas.openxmlformats.org/officeDocument/2006/relationships/hyperlink" Target="https://doi.org/10.5281/zenodo.223036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