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每日SSCI文献简报｜2026-08-23</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2026-08-23 08:35:58（北京时间）</w:t>
            </w:r>
          </w:p>
        </w:tc>
      </w:tr>
      <w:tr>
        <w:tc>
          <w:tcPr>
            <w:tcW w:type="dxa" w:w="4997"/>
          </w:tcPr>
          <w:p>
            <w:r>
              <w:rPr>
                <w:b/>
              </w:rPr>
              <w:t>检索窗口</w:t>
            </w:r>
          </w:p>
        </w:tc>
        <w:tc>
          <w:tcPr>
            <w:tcW w:type="dxa" w:w="4997"/>
          </w:tcPr>
          <w:p>
            <w:r>
              <w:t>2023-08-24 — 2026-08-23</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数字技术赋能教师教育：以生成式AI与教师数字能力为核心，兼及特殊教育支持工具，关注葡巴、中芬等跨文化比较，方法上呈现混合研究与设计本位取向，凸显教师伦理反思及培训缺口，呼应我国教育数字化转型与包容性发展议题。</w:t>
      </w:r>
    </w:p>
    <w:p>
      <w:pPr>
        <w:pStyle w:val="Heading1"/>
      </w:pPr>
      <w:r>
        <w:t>目录</w:t>
      </w:r>
    </w:p>
    <w:p>
      <w:pPr>
        <w:pStyle w:val="ListNumber"/>
      </w:pPr>
      <w:r>
        <w:rPr>
          <w:b/>
        </w:rPr>
        <w:t>生成式人工智能、教师数字能力与可持续教育生态系统：葡萄牙与巴西的比较研究</w:t>
      </w:r>
      <w:r>
        <w:t>｜Sustainability｜2026-08-20</w:t>
      </w:r>
    </w:p>
    <w:p>
      <w:pPr>
        <w:pStyle w:val="ListNumber"/>
      </w:pPr>
      <w:r>
        <w:rPr>
          <w:b/>
        </w:rPr>
        <w:t>超越AI素养：职前教师在生成式人工智能融入教育中的教学与伦理推理探究</w:t>
      </w:r>
      <w:r>
        <w:t>｜Journal of Educational Computing Research｜2026-08-22</w:t>
      </w:r>
    </w:p>
    <w:p>
      <w:pPr>
        <w:pStyle w:val="ListNumber"/>
      </w:pPr>
      <w:r>
        <w:rPr>
          <w:b/>
        </w:rPr>
        <w:t>先验知识与智力在陈述验证任务中化解概念干扰的作用</w:t>
      </w:r>
      <w:r>
        <w:t>｜Intelligence｜2026-08-21</w:t>
      </w:r>
    </w:p>
    <w:p>
      <w:pPr>
        <w:pStyle w:val="ListNumber"/>
      </w:pPr>
      <w:r>
        <w:rPr>
          <w:b/>
        </w:rPr>
        <w:t>从单词到句子：面向家长的手语学习应用程序的设计与评估</w:t>
      </w:r>
      <w:r>
        <w:t>｜Universal Access in the Information Society｜2026-08-21</w:t>
      </w:r>
    </w:p>
    <w:p>
      <w:pPr>
        <w:pStyle w:val="ListNumber"/>
      </w:pPr>
      <w:r>
        <w:rPr>
          <w:b/>
        </w:rPr>
        <w:t>体育与表演艺术教师教育中的专业数字能力：“学习阿凡达”项目中的变革性学习</w:t>
      </w:r>
      <w:r>
        <w:t>｜European Journal of Teacher Education｜2026-08-21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Generative Artificial Intelligence, Teachers’ Digital Competences and Sustainable Educational Ecosystems: A Comparative Study in Portugal and Brazil / 生成式人工智能、教师数字能力与可持续教育生态系统：葡萄牙与巴西的比较研究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Artificial Intelligence, Teachers’ Digital Competences and Sustainable Educational Ecosystems: A Comparative Study in Portugal and Brazil / 生成式人工智能、教师数字能力与可持续教育生态系统：葡萄牙与巴西的比较研究</w:t>
            </w:r>
          </w:p>
        </w:tc>
      </w:tr>
      <w:tr>
        <w:tc>
          <w:tcPr>
            <w:tcW w:type="dxa" w:w="4997"/>
          </w:tcPr>
          <w:p>
            <w:r>
              <w:rPr>
                <w:b/>
              </w:rPr>
              <w:t>作者</w:t>
            </w:r>
          </w:p>
        </w:tc>
        <w:tc>
          <w:tcPr>
            <w:tcW w:type="dxa" w:w="4997"/>
          </w:tcPr>
          <w:p>
            <w:r>
              <w:t>Sara Dias-Trindade, José António Moreira</w:t>
            </w:r>
          </w:p>
        </w:tc>
      </w:tr>
      <w:tr>
        <w:tc>
          <w:tcPr>
            <w:tcW w:type="dxa" w:w="4997"/>
          </w:tcPr>
          <w:p>
            <w:r>
              <w:rPr>
                <w:b/>
              </w:rPr>
              <w:t>期刊及影响因子</w:t>
            </w:r>
          </w:p>
        </w:tc>
        <w:tc>
          <w:tcPr>
            <w:tcW w:type="dxa" w:w="4997"/>
          </w:tcPr>
          <w:p>
            <w:r>
              <w:t>期刊为Sustainability，SSCI分类为Education &amp; Educational Research及Green &amp; Sustainable Science &amp; Technology；白名单未提供影响因子和JCR分区。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卷期信息摘要未说明；DOI: https://doi.org/10.3390/su18168566</w:t>
            </w:r>
          </w:p>
        </w:tc>
      </w:tr>
      <w:tr>
        <w:tc>
          <w:tcPr>
            <w:tcW w:type="dxa" w:w="4997"/>
          </w:tcPr>
          <w:p>
            <w:r>
              <w:rPr>
                <w:b/>
              </w:rPr>
              <w:t>在线发表时间</w:t>
            </w:r>
          </w:p>
        </w:tc>
        <w:tc>
          <w:tcPr>
            <w:tcW w:type="dxa" w:w="4997"/>
          </w:tcPr>
          <w:p>
            <w:r>
              <w:t>2026-08-20</w:t>
            </w:r>
          </w:p>
        </w:tc>
      </w:tr>
      <w:tr>
        <w:tc>
          <w:tcPr>
            <w:tcW w:type="dxa" w:w="4997"/>
          </w:tcPr>
          <w:p>
            <w:r>
              <w:rPr>
                <w:b/>
              </w:rPr>
              <w:t>SSCI分类</w:t>
            </w:r>
          </w:p>
        </w:tc>
        <w:tc>
          <w:tcPr>
            <w:tcW w:type="dxa" w:w="4997"/>
          </w:tcPr>
          <w:p>
            <w:r>
              <w:t>Education &amp; Educational Research；Green &amp; Sustainable Science &amp; Technology</w:t>
            </w:r>
          </w:p>
        </w:tc>
      </w:tr>
      <w:tr>
        <w:tc>
          <w:tcPr>
            <w:tcW w:type="dxa" w:w="4997"/>
          </w:tcPr>
          <w:p>
            <w:r>
              <w:rPr>
                <w:b/>
              </w:rPr>
              <w:t>论文链接</w:t>
            </w:r>
          </w:p>
        </w:tc>
        <w:tc>
          <w:tcPr>
            <w:tcW w:type="dxa" w:w="4997"/>
          </w:tcPr>
          <w:p>
            <w:hyperlink r:id="rId9">
              <w:r>
                <w:rPr>
                  <w:color w:val="0563C1"/>
                  <w:u w:val="single"/>
                </w:rPr>
                <w:t>https://doi.org/10.3390/su18168566</w:t>
              </w:r>
            </w:hyperlink>
          </w:p>
        </w:tc>
      </w:tr>
    </w:tbl>
    <w:p>
      <w:pPr>
        <w:pStyle w:val="Heading3"/>
      </w:pPr>
      <w:r>
        <w:t>研究摘要</w:t>
      </w:r>
    </w:p>
    <w:p>
      <w:r>
        <w:t>本文探讨了生成式人工智能的出现及其日益融入教育过程的现象，强调这一转变对教学实践产生的显著影响。这些技术的迅速普及促进了教与学方式的重构，也凸显了教师发展特定数字技能的必要性，尤其是在人工智能的批判性、伦理性和教学性使用方面。基于对新兴教育领域（如人工智能）教师培训的关注，本文报告了一项在葡萄牙和巴西开展的研究结果。该研究以Pedagogical DigCompEdu Reloaded框架为基础，重点关注该框架教学维度四个领域中与人工智能相关的数字能力。研究结果揭示了显著的培训缺口和关键干预领域，并明确表明教师在与人工智能相关的教学能力方面的熟练程度普遍较低。这些发现对教育可持续性尤为重要，因为人工智能相关能力的不足可能限制教师创建包容、有韧性和公平的数字学习环境的能力。尽管葡萄牙和巴西拥有不同的教育框架和政策，但研究发现两国呈现出非常相似的模式，表明存在共同的制约因素。这些发现强化了制定面向人工智能批判性和教学性整合的教育政策与培训策略的必要性。研究结果还表明，增强教师人工智能相关能力是培育更具包容性和可持续性的教育生态系统的必要条件，这样的系统能够支持人工智能的伦理与教学整合，同时缓解新兴形式的数字不平等。</w:t>
      </w:r>
    </w:p>
    <w:p>
      <w:pPr>
        <w:pStyle w:val="Heading3"/>
      </w:pPr>
      <w:r>
        <w:t>研究主要内容</w:t>
      </w:r>
    </w:p>
    <w:p>
      <w:r>
        <w:t>本研究聚焦生成式人工智能（Generative AI）在教育中的融入及其对教师数字能力的新要求，特别关注人工智能相关的教学能力。研究基于Pedagogical DigCompEdu Reloaded框架，考察其教学维度四个领域中与人工智能相关的能力现状。研究在葡萄牙和巴西两个国家开展，采用比较视角分析两国的共性。研究指出，教师人工智能相关教学能力普遍偏低，存在显著的培训缺口。尽管两国教育政策与体系不同，但结果模式高度相似，暗示存在共同的结构性制约。研究强调，教师人工智能能力的不足可能威胁教育生态系统的可持续性，制约包容、公平、韧性数字学习环境的建设。因此，需要制定面向批判性、伦理性和教学性整合人工智能的教师培训策略，以促进可持续教育生态系统的发展，并缓解数字不平等。</w:t>
      </w:r>
    </w:p>
    <w:p>
      <w:pPr>
        <w:pStyle w:val="Heading3"/>
      </w:pPr>
      <w:r>
        <w:t>研究论点</w:t>
      </w:r>
    </w:p>
    <w:p>
      <w:r>
        <w:t>本文的核心论点是：生成式人工智能正在改变教育过程，但教师缺乏足够的、与人工智能相关的教学数字能力，这会阻碍可持续教育生态系统的构建。因此，提升教师的人工智能相关能力是伦理、批判性整合人工智能并实现教育可持续性的必要前提。</w:t>
      </w:r>
    </w:p>
    <w:p>
      <w:pPr>
        <w:pStyle w:val="Heading3"/>
      </w:pPr>
      <w:r>
        <w:t>研究问题</w:t>
      </w:r>
    </w:p>
    <w:p>
      <w:r>
        <w:t>摘要未明确陈述研究问题，但根据摘要可推断核心问题为：在Pedagogical DigCompEdu Reloaded框架的教学维度中，葡萄牙和巴西教师的人工智能相关数字能力水平如何？两国之间存在哪些相似或相异的模式？</w:t>
      </w:r>
    </w:p>
    <w:p>
      <w:pPr>
        <w:pStyle w:val="Heading3"/>
      </w:pPr>
      <w:r>
        <w:t>研究方法</w:t>
      </w:r>
    </w:p>
    <w:p>
      <w:r>
        <w:t>研究类型：摘要未明确说明是定量、定性还是混合方法。样本或参与者：摘要未说明样本数量、教师类型或抽样方式。数据来源：摘要仅说明研究基于Pedagogical DigCompEdu Reloaded框架，但未说明具体数据收集工具（如问卷、访谈、测评等）。分析方法：摘要未说明具体统计或质性分析技术。因此，研究方法的关键信息均缺失，需查阅原文获取。</w:t>
      </w:r>
    </w:p>
    <w:p>
      <w:pPr>
        <w:pStyle w:val="Heading3"/>
      </w:pPr>
      <w:r>
        <w:t>主要发现</w:t>
      </w:r>
    </w:p>
    <w:p>
      <w:r>
        <w:t>['教师在与人工智能相关的教学能力方面熟练程度普遍较低，存在显著的培训缺口和需要干预的关键领域。', '尽管葡萄牙和巴西拥有不同的教育框架和政策，两国教师的人工智能相关能力模式非常相似，表明存在共同的制约因素。', '人工智能相关能力的不足可能限制教师创建包容、有韧性和公平的数字学习环境，进而影响教育生态系统的可持续性。']</w:t>
      </w:r>
    </w:p>
    <w:p>
      <w:pPr>
        <w:pStyle w:val="Heading3"/>
      </w:pPr>
      <w:r>
        <w:t>对教师教育研究的启示</w:t>
      </w:r>
    </w:p>
    <w:p>
      <w:r>
        <w:t>对教师教育研究的启示包括：第一，可借鉴Pedagogical DigCompEdu Reloaded框架开发评估工具，系统测量教师在人工智能整合方面的教学能力，从而识别培训需求。第二，本研究采用跨国比较设计，揭示了不同教育背景下教师数字素养的共同挑战，后续研究可进一步扩展至更多国家或地区进行验证。第三，在数据收集与分析方面，未来研究应明确样本特征、数据来源和分析方法（如问卷结合访谈或课堂观察），并加强实证证据，以深化对教师AI数字能力与可持续教育生态系统关系的理解。</w:t>
      </w:r>
    </w:p>
    <w:p>
      <w:pPr>
        <w:pStyle w:val="Heading3"/>
      </w:pPr>
      <w:r>
        <w:t>APA引用格式</w:t>
      </w:r>
    </w:p>
    <w:p>
      <w:r>
        <w:t>Dias-Trindade, S., &amp; Moreira, J. A. (2026). Generative artificial intelligence, teachers’ digital competences and sustainable educational ecosystems: A comparative study in Portugal and Brazil. Sustainability. https://doi.org/10.3390/su18168566</w:t>
      </w:r>
    </w:p>
    <w:p>
      <w:r>
        <w:br w:type="page"/>
      </w:r>
    </w:p>
    <w:p>
      <w:pPr>
        <w:pStyle w:val="Heading2"/>
      </w:pPr>
      <w:r>
        <w:t>2. Beyond AI Literacy: Exploring Pre-Service Teachers’ Pedagogical and Ethical Reasoning in Generative AI Integration in Education / 超越AI素养：职前教师在生成式人工智能融入教育中的教学与伦理推理探究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Beyond AI Literacy: Exploring Pre-Service Teachers’ Pedagogical and Ethical Reasoning in Generative AI Integration in Education / 超越AI素养：职前教师在生成式人工智能融入教育中的教学与伦理推理探究</w:t>
            </w:r>
          </w:p>
        </w:tc>
      </w:tr>
      <w:tr>
        <w:tc>
          <w:tcPr>
            <w:tcW w:type="dxa" w:w="4997"/>
          </w:tcPr>
          <w:p>
            <w:r>
              <w:rPr>
                <w:b/>
              </w:rPr>
              <w:t>作者</w:t>
            </w:r>
          </w:p>
        </w:tc>
        <w:tc>
          <w:tcPr>
            <w:tcW w:type="dxa" w:w="4997"/>
          </w:tcPr>
          <w:p>
            <w:r>
              <w:t>Alanur Ahsen Dalyanci, Ismail Celik, Sini Kontkanen, Jari Laru, Signe Siklander</w:t>
            </w:r>
          </w:p>
        </w:tc>
      </w:tr>
      <w:tr>
        <w:tc>
          <w:tcPr>
            <w:tcW w:type="dxa" w:w="4997"/>
          </w:tcPr>
          <w:p>
            <w:r>
              <w:rPr>
                <w:b/>
              </w:rPr>
              <w:t>期刊及影响因子</w:t>
            </w:r>
          </w:p>
        </w:tc>
        <w:tc>
          <w:tcPr>
            <w:tcW w:type="dxa" w:w="4997"/>
          </w:tcPr>
          <w:p>
            <w:r>
              <w:t>未提供影响因子；JCR分区未提供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1541-4140</w:t>
            </w:r>
          </w:p>
        </w:tc>
      </w:tr>
      <w:tr>
        <w:tc>
          <w:tcPr>
            <w:tcW w:type="dxa" w:w="4997"/>
          </w:tcPr>
          <w:p>
            <w:r>
              <w:rPr>
                <w:b/>
              </w:rPr>
              <w:t>卷期/DOI</w:t>
            </w:r>
          </w:p>
        </w:tc>
        <w:tc>
          <w:tcPr>
            <w:tcW w:type="dxa" w:w="4997"/>
          </w:tcPr>
          <w:p>
            <w:r>
              <w:t>卷期信息未提供；DOI: 10.1177/07356331261479569</w:t>
            </w:r>
          </w:p>
        </w:tc>
      </w:tr>
      <w:tr>
        <w:tc>
          <w:tcPr>
            <w:tcW w:type="dxa" w:w="4997"/>
          </w:tcPr>
          <w:p>
            <w:r>
              <w:rPr>
                <w:b/>
              </w:rPr>
              <w:t>在线发表时间</w:t>
            </w:r>
          </w:p>
        </w:tc>
        <w:tc>
          <w:tcPr>
            <w:tcW w:type="dxa" w:w="4997"/>
          </w:tcPr>
          <w:p>
            <w:r>
              <w:t>2026-08-22</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https://doi.org/10.1177/07356331261479569</w:t>
              </w:r>
            </w:hyperlink>
          </w:p>
        </w:tc>
      </w:tr>
    </w:tbl>
    <w:p>
      <w:pPr>
        <w:pStyle w:val="Heading3"/>
      </w:pPr>
      <w:r>
        <w:t>研究摘要</w:t>
      </w:r>
    </w:p>
    <w:p>
      <w:r>
        <w:t>生成式人工智能（GenAI）为创新教学提供了机会，但也引发了伦理关切。尽管职前教师被期望负责任地整合GenAI，但关于他们如何参与指导此类整合的推理过程，目前尚知之甚少。本研究通过涉及GenAI的案例情境，考察职前教师的教学与伦理推理。来自两所芬兰大学的49名职前教师对GenAI相关的教学伦理案例进行了反思。研究采用Shulman的教学推理与行动模型以及Rest的四成分模型对反思进行分析。研究发现，参与者的教学推理侧重于将GenAI与课程对齐、调整输出以及批判性评价，而更深层次的反思较少。伦理推理在公平案例和动机相关维度上表现最强，在问责案例和政策相关维度上则较弱。本研究有助于理解职前教师进行GenAI整合时的教学与伦理推理，并为教师教育项目的发展提供参考。</w:t>
      </w:r>
    </w:p>
    <w:p>
      <w:pPr>
        <w:pStyle w:val="Heading3"/>
      </w:pPr>
      <w:r>
        <w:t>研究主要内容</w:t>
      </w:r>
    </w:p>
    <w:p>
      <w:r>
        <w:t>本研究针对职前教师在生成式人工智能（GenAI）融入教育时的教学与伦理推理展开实证探究。研究聚焦于职前教师如何通过案例情境进行反思，并运用Shulman的教学推理与行动模型和Rest的四成分模型分析其反思内容，以揭示教学推理与伦理推理的表现特征及薄弱环节。</w:t>
      </w:r>
    </w:p>
    <w:p>
      <w:pPr>
        <w:pStyle w:val="Heading3"/>
      </w:pPr>
      <w:r>
        <w:t>研究论点</w:t>
      </w:r>
    </w:p>
    <w:p>
      <w:r>
        <w:t>职前教师虽然被期望负责任地整合GenAI，但对其整合过程中的推理机制了解不足。理解这种推理有助于改进教师教育，使职前教师更好地在教学中平衡创新与伦理责任。</w:t>
      </w:r>
    </w:p>
    <w:p>
      <w:pPr>
        <w:pStyle w:val="Heading3"/>
      </w:pPr>
      <w:r>
        <w:t>研究问题</w:t>
      </w:r>
    </w:p>
    <w:p>
      <w:r>
        <w:t>摘要未明确列出正式研究问题，但可概括为：职前教师在GenAI整合教育教学中的教学推理与伦理推理呈现出怎样的特征？在哪些维度表现较强或较弱？</w:t>
      </w:r>
    </w:p>
    <w:p>
      <w:pPr>
        <w:pStyle w:val="Heading3"/>
      </w:pPr>
      <w:r>
        <w:t>研究方法</w:t>
      </w:r>
    </w:p>
    <w:p>
      <w:r>
        <w:t>研究类型：定性研究（具体研究设计类型摘要未说明）。样本/参与者：来自两所芬兰大学的49名职前教师。数据来源：职前教师对GenAI相关教学伦理案例的书面反思。分析方法：使用Shulman的教学推理与行动模型和Rest的四成分模型进行内容分析（具体编码程序摘要未说明）。</w:t>
      </w:r>
    </w:p>
    <w:p>
      <w:pPr>
        <w:pStyle w:val="Heading3"/>
      </w:pPr>
      <w:r>
        <w:t>主要发现</w:t>
      </w:r>
    </w:p>
    <w:p>
      <w:r>
        <w:t>['职前教师的教学推理集中于将GenAI与课程目标对齐、对AI输出进行调整以及批判性评价，但更深层次的反思性推理出现频率较低。', '伦理推理在公平相关案例和动机相关维度上表现最强，而在问责相关案例和政策相关维度上表现较弱。', '研究结果有助于理解职前教师GenAI整合中的教学与伦理推理，并为教师教育项目的内容设计提供实证依据。']</w:t>
      </w:r>
    </w:p>
    <w:p>
      <w:pPr>
        <w:pStyle w:val="Heading3"/>
      </w:pPr>
      <w:r>
        <w:t>对教师教育研究的启示</w:t>
      </w:r>
    </w:p>
    <w:p>
      <w:r>
        <w:t>教师教育项目应超越单纯的AI素养培养，加强对职前教师深层教学推理的训练，尤其是促进对GenAI使用情境的批判性反思；同时应强化教师在问责、政策等维度的伦理推理能力，可通过基于真实教学伦理案例的反思任务来实现；研究设计上可采用理论驱动的定性内容分析，结合标准化伦理模型（如Rest四成分模型）来诊断职前教师的推理薄弱点，为课程干预提供数据支持。</w:t>
      </w:r>
    </w:p>
    <w:p>
      <w:pPr>
        <w:pStyle w:val="Heading3"/>
      </w:pPr>
      <w:r>
        <w:t>APA引用格式</w:t>
      </w:r>
    </w:p>
    <w:p>
      <w:r>
        <w:t>Dalyanci, A. A., Celik, I., Kontkanen, S., Laru, J., &amp; Siklander, S. (2026). Beyond AI literacy: Exploring pre-service teachers’ pedagogical and ethical reasoning in generative AI integration in education. Journal of Educational Computing Research. Advance online publication. https://doi.org/10.1177/07356331261479569</w:t>
      </w:r>
    </w:p>
    <w:p>
      <w:r>
        <w:br w:type="page"/>
      </w:r>
    </w:p>
    <w:p>
      <w:pPr>
        <w:pStyle w:val="Heading2"/>
      </w:pPr>
      <w:r>
        <w:t>3. The role of prior knowledge and intelligence in resolving conceptual interference in statement-verification tasks / 先验知识与智力在陈述验证任务中化解概念干扰的作用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role of prior knowledge and intelligence in resolving conceptual interference in statement-verification tasks / 先验知识与智力在陈述验证任务中化解概念干扰的作用</w:t>
            </w:r>
          </w:p>
        </w:tc>
      </w:tr>
      <w:tr>
        <w:tc>
          <w:tcPr>
            <w:tcW w:type="dxa" w:w="4997"/>
          </w:tcPr>
          <w:p>
            <w:r>
              <w:rPr>
                <w:b/>
              </w:rPr>
              <w:t>作者</w:t>
            </w:r>
          </w:p>
        </w:tc>
        <w:tc>
          <w:tcPr>
            <w:tcW w:type="dxa" w:w="4997"/>
          </w:tcPr>
          <w:p>
            <w:r>
              <w:t>Christian M. Thurn</w:t>
            </w:r>
          </w:p>
        </w:tc>
      </w:tr>
      <w:tr>
        <w:tc>
          <w:tcPr>
            <w:tcW w:type="dxa" w:w="4997"/>
          </w:tcPr>
          <w:p>
            <w:r>
              <w:rPr>
                <w:b/>
              </w:rPr>
              <w:t>期刊及影响因子</w:t>
            </w:r>
          </w:p>
        </w:tc>
        <w:tc>
          <w:tcPr>
            <w:tcW w:type="dxa" w:w="4997"/>
          </w:tcPr>
          <w:p>
            <w:r>
              <w:t>期刊为 *Intelligence*（SSCI收录，多学科心理学方向）；简报所依据的元数据未提供影响因子和JCR分区，摘要亦未说明，故不作标注。</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卷、期信息元数据未提供；DOI: https://doi.org/10.1016/j.intell.2026.102057</w:t>
            </w:r>
          </w:p>
        </w:tc>
      </w:tr>
      <w:tr>
        <w:tc>
          <w:tcPr>
            <w:tcW w:type="dxa" w:w="4997"/>
          </w:tcPr>
          <w:p>
            <w:r>
              <w:rPr>
                <w:b/>
              </w:rPr>
              <w:t>在线发表时间</w:t>
            </w:r>
          </w:p>
        </w:tc>
        <w:tc>
          <w:tcPr>
            <w:tcW w:type="dxa" w:w="4997"/>
          </w:tcPr>
          <w:p>
            <w:r>
              <w:t>2026-08-21</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1">
              <w:r>
                <w:rPr>
                  <w:color w:val="0563C1"/>
                  <w:u w:val="single"/>
                </w:rPr>
                <w:t>https://doi.org/10.1016/j.intell.2026.102057</w:t>
              </w:r>
            </w:hyperlink>
          </w:p>
        </w:tc>
      </w:tr>
    </w:tbl>
    <w:p>
      <w:pPr>
        <w:pStyle w:val="Heading3"/>
      </w:pPr>
      <w:r>
        <w:t>研究摘要</w:t>
      </w:r>
    </w:p>
    <w:p>
      <w:r>
        <w:t>陈述验证任务（statement-verification tasks）用于考察直觉概念与科学概念的冲突。在该类任务中，通过比较一致与不一致陈述在准确率或反应时上的差异，可以推断直觉概念对科学概念的干扰强度。近期研究发现，在不同科学领域中，干扰强度的稳定个体差异有限，这提示一般性抑制等稳定认知能力可能并非干扰强度的主要驱动因素。本研究考察稳定认知资源（智力）与可变认知资源（先验知识）如何共同塑造陈述验证任务中的干扰强度。研究为纵向准实验田野研究，样本为118名中学生，他们接受了关于“场”（fields）的教学，并完成陈述验证任务测试。研究者利用威纳扩散模型（Wiener Diffusion Models）进行分析，探索“场”与“磁”（magnetism）的先验知识、智力与准确率、反应时及扩散模型参数之间的关系。结果支持了预先注册的关于一致性与先验知识效应的假设，同时重复了以往研究中关于干扰强度心理测量学属性较弱的发现。作者在讨论中提出了同时建模准确率与反应时的方法学建议。</w:t>
      </w:r>
    </w:p>
    <w:p>
      <w:pPr>
        <w:pStyle w:val="Heading3"/>
      </w:pPr>
      <w:r>
        <w:t>研究主要内容</w:t>
      </w:r>
    </w:p>
    <w:p>
      <w:r>
        <w:t>该研究聚焦概念学习中的基本认知冲突问题：当学习者在完成陈述验证任务时，需要判断与自身既有直觉一致或矛盾的命题，这种验证过程如何受先验知识和一般认知能力（智力）的影响。基于过往研究发现干扰强度缺乏跨领域稳定个体差异这一现象，作者提出一个实证研究方案：将稳定认知资源（智力）和可变认知资源（先验知识）同时纳入分析框架，以解释陈述验证任务中概念干扰的变异性来源。研究采用纵向准实验设计，在自然教学情境下对118名中学生实施关于“场”内容的课堂教学，随后通过陈述验证任务获取准确率、反应时等行为指标，并应用威纳扩散模型对行为数据进行认知建模，以区分决策阈值、漂移率等潜在认知过程。作者在公开注册中预先设定了关于一致性效应和先验知识效应的假设，这些假设得到数据支持。同时，干扰强度指标的心理测量学属性较弱这一结论再次被证实，反映出此类任务在个体差异测量方面存在局限性。文章在讨论环节提出了针对未来研究的改进建议，强调应同时考虑准确率和反应时信息，并通过认知建模手段进行整合分析。该研究与教育情境中概念转变的认知机制直接相关，也为测量学生科学概念理解提供了方法论层面的参考。</w:t>
      </w:r>
    </w:p>
    <w:p>
      <w:pPr>
        <w:pStyle w:val="Heading3"/>
      </w:pPr>
      <w:r>
        <w:t>研究论点</w:t>
      </w:r>
    </w:p>
    <w:p>
      <w:r>
        <w:t>论文的核心论证是：在陈述验证任务中，干扰强度不应被简单归因于一般性抑制能力等稳定认知特质，而应被理解为稳定认知资源（智力）与可变认知资源（先验知识）共同作用的结果。作者认为，已有研究因忽视知识背景的领域特异性，导致对干扰强度个体稳定性的估计偏低；通过同时纳入智力水平和特定领域先验知识的纵向设计，可以更准确地刻画概念干扰的产生机制。该论证在方法论层面强调：传统只使用准确率或反应时差分的做法会丢失过程信息，应采用扩散模型等认知建模方法对反应时与准确率进行联合建模，从而获得对干扰过程更细致的理解。</w:t>
      </w:r>
    </w:p>
    <w:p>
      <w:pPr>
        <w:pStyle w:val="Heading3"/>
      </w:pPr>
      <w:r>
        <w:t>研究问题</w:t>
      </w:r>
    </w:p>
    <w:p>
      <w:r>
        <w:t>（1）在陈述验证任务中，先验知识（关于“场”和“磁性”的知识）和智力如何共同影响准确率、反应时以及扩散模型参数？（2）先验知识与智力在化解概念干扰方面分别扮演什么角色？或者稳定认知资源与可变认知资源是否交互作用？摘要未明确列出正式研究问题，以上问题系根据研究目标概括。</w:t>
      </w:r>
    </w:p>
    <w:p>
      <w:pPr>
        <w:pStyle w:val="Heading3"/>
      </w:pPr>
      <w:r>
        <w:t>研究方法</w:t>
      </w:r>
    </w:p>
    <w:p>
      <w:r>
        <w:t>研究类型为定量研究，采用纵向准实验设计（具体分组与对照方式摘要未说明）。样本为118名中学生，被试接受了关于“场”的教学干预，但干预时长为具体课时数摘要未说明。数据来源包括：（1）关于“场”和“磁”的先验知识测验；（2）智力测验（具体测验名称与版本摘要未说明）；（3）陈述验证任务行为数据——主要包括准确率与反应时；（4）基于行为数据拟合的威纳扩散模型参数。分析方法包括准确率/反应时差异的比较分析（具体统计检验方法摘要未说明），以及威纳扩散模型参数建模；研究假设进行了预注册。需要明确的是：摘要中未提及教学质量评估、教学控制手段、样本性别/年龄分布、统计分析软件及效应量等细节。</w:t>
      </w:r>
    </w:p>
    <w:p>
      <w:pPr>
        <w:pStyle w:val="Heading3"/>
      </w:pPr>
      <w:r>
        <w:t>主要发现</w:t>
      </w:r>
    </w:p>
    <w:p>
      <w:r>
        <w:t>（1）预先注册的关于一致性的假设获得支持：一致陈述和不一致陈述在准确率和反应时上的差异显著，表明直觉概念对科学概念产生了可测量的干扰；相关具体数值未在摘要中报告。（2）预先注册的关于先验知识的假设获得支持：学生对特定领域（“场”和磁性）持有的先验知识水平会影响其在陈述验证任务中的表现——摘要未报告效应的方向与具体参数，但暗示高先验知识有助于化解干扰。（3）重复了以往研究的发现：干扰强度指标在陈述验证任务中的心理测量学属性较弱，即个体差异的稳定性有限。此外，威纳扩散模型应用的结果表明，同时分析准确率与反应时有助于更深入地理解干扰过程的认知机制；具体模型参数比较结果摘要未报告。</w:t>
      </w:r>
    </w:p>
    <w:p>
      <w:pPr>
        <w:pStyle w:val="Heading3"/>
      </w:pPr>
      <w:r>
        <w:t>对教师教育研究的启示</w:t>
      </w:r>
    </w:p>
    <w:p>
      <w:r>
        <w:t>（1）在研究主题方面，本研究为“概念转变中的认知冲突”提供了实证切口：教师教育研究者可以关注“先验知识+认知能力”的交互模型，而非仅考察一般抑制控制对概念学习的影响，这有助于更精确地描述学习者在科学概念理解中的困难来源。（2）在研究设计方面，论文采用的纵向准实验+预注册模式提供了可借鉴的范式，尤其是将教学干预与特定认知任务结合的做法，适合用于教师培训中评估教师教学策略对概念转变的实际促进效果；研究者可以复制该设计于学前或基础教育阶段的概念教学研究。（3）在数据分析方法层面，本研究所应用的威纳扩散模型（同时建模准确率与反应时）是一个值得关注的前沿策略：教师教育研究者可学习将传统行为指标升级为认知过程参数，以回答有关自动化概念、直觉干扰等超越均值差异的研究问题——而摘要中关于干扰强度信度问题的讨论，也提示后续研究应重视测量工具的个体差异信度问题。</w:t>
      </w:r>
    </w:p>
    <w:p>
      <w:pPr>
        <w:pStyle w:val="Heading3"/>
      </w:pPr>
      <w:r>
        <w:t>APA引用格式</w:t>
      </w:r>
    </w:p>
    <w:p>
      <w:r>
        <w:t>Thurn, C. M. (2026). The role of prior knowledge and intelligence in resolving conceptual interference in statement-verification tasks. *Intelligence*. Advance online publication. https://doi.org/10.1016/j.intell.2026.102057</w:t>
      </w:r>
    </w:p>
    <w:p>
      <w:r>
        <w:br w:type="page"/>
      </w:r>
    </w:p>
    <w:p>
      <w:pPr>
        <w:pStyle w:val="Heading2"/>
      </w:pPr>
      <w:r>
        <w:t>4. From words to sentences: designing and evaluating a parent-facing sign language learning app / 从单词到句子：面向家长的手语学习应用程序的设计与评估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words to sentences: designing and evaluating a parent-facing sign language learning app / 从单词到句子：面向家长的手语学习应用程序的设计与评估</w:t>
            </w:r>
          </w:p>
        </w:tc>
      </w:tr>
      <w:tr>
        <w:tc>
          <w:tcPr>
            <w:tcW w:type="dxa" w:w="4997"/>
          </w:tcPr>
          <w:p>
            <w:r>
              <w:rPr>
                <w:b/>
              </w:rPr>
              <w:t>作者</w:t>
            </w:r>
          </w:p>
        </w:tc>
        <w:tc>
          <w:tcPr>
            <w:tcW w:type="dxa" w:w="4997"/>
          </w:tcPr>
          <w:p>
            <w:r>
              <w:t>Jos Ritmeester, Beyza Sümer, Marije Boonstra, Maartje De Meulder, Belinda van der Aa, Floris Roelofsen</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 HEIDELBERG</w:t>
            </w:r>
          </w:p>
        </w:tc>
      </w:tr>
      <w:tr>
        <w:tc>
          <w:tcPr>
            <w:tcW w:type="dxa" w:w="4997"/>
          </w:tcPr>
          <w:p>
            <w:r>
              <w:rPr>
                <w:b/>
              </w:rPr>
              <w:t>卷期/DOI</w:t>
            </w:r>
          </w:p>
        </w:tc>
        <w:tc>
          <w:tcPr>
            <w:tcW w:type="dxa" w:w="4997"/>
          </w:tcPr>
          <w:p>
            <w:r>
              <w:t>DOI: 10.1007/s10209-026-01378-9</w:t>
            </w:r>
          </w:p>
        </w:tc>
      </w:tr>
      <w:tr>
        <w:tc>
          <w:tcPr>
            <w:tcW w:type="dxa" w:w="4997"/>
          </w:tcPr>
          <w:p>
            <w:r>
              <w:rPr>
                <w:b/>
              </w:rPr>
              <w:t>在线发表时间</w:t>
            </w:r>
          </w:p>
        </w:tc>
        <w:tc>
          <w:tcPr>
            <w:tcW w:type="dxa" w:w="4997"/>
          </w:tcPr>
          <w:p>
            <w:r>
              <w:t>2026-08-21</w:t>
            </w:r>
          </w:p>
        </w:tc>
      </w:tr>
      <w:tr>
        <w:tc>
          <w:tcPr>
            <w:tcW w:type="dxa" w:w="4997"/>
          </w:tcPr>
          <w:p>
            <w:r>
              <w:rPr>
                <w:b/>
              </w:rPr>
              <w:t>SSCI分类</w:t>
            </w:r>
          </w:p>
        </w:tc>
        <w:tc>
          <w:tcPr>
            <w:tcW w:type="dxa" w:w="4997"/>
          </w:tcPr>
          <w:p>
            <w:r>
              <w:t>English；Ergonomics</w:t>
            </w:r>
          </w:p>
        </w:tc>
      </w:tr>
      <w:tr>
        <w:tc>
          <w:tcPr>
            <w:tcW w:type="dxa" w:w="4997"/>
          </w:tcPr>
          <w:p>
            <w:r>
              <w:rPr>
                <w:b/>
              </w:rPr>
              <w:t>论文链接</w:t>
            </w:r>
          </w:p>
        </w:tc>
        <w:tc>
          <w:tcPr>
            <w:tcW w:type="dxa" w:w="4997"/>
          </w:tcPr>
          <w:p>
            <w:hyperlink r:id="rId12">
              <w:r>
                <w:rPr>
                  <w:color w:val="0563C1"/>
                  <w:u w:val="single"/>
                </w:rPr>
                <w:t>https://doi.org/10.1007/s10209-026-01378-9</w:t>
              </w:r>
            </w:hyperlink>
          </w:p>
        </w:tc>
      </w:tr>
    </w:tbl>
    <w:p>
      <w:pPr>
        <w:pStyle w:val="Heading3"/>
      </w:pPr>
      <w:r>
        <w:t>研究摘要</w:t>
      </w:r>
    </w:p>
    <w:p>
      <w:r>
        <w:t>为防止语言剥夺，聋童和听障儿童的听力正常父母需要在孩子听力损失确诊后尽快学习手语。然而，面向家长的手语资源有限，且往往缺乏对句子结构的关注。为此，研究者开发了一款名为ZINinNGT的移动端荷兰手语学习应用程序，专门针对家长并聚焦句子构成。本文描述了该应用程序的初步设计原则，报告了听力正常家长和NGT教师对ZINinNGT原型的反馈，并根据反馈提出了更新后的设计原则。21位听力正常家长和6位NGT教师参与了研究，他们各自试用原型并同时进行出声思维。参与者对应用程序基于句子的方法反应积极，并欣赏其满足不同学习偏好的功能，如可调节的播放速度和摄像头角度。此外，他们赞赏内容与幼儿家长的日常生活密切相关。同时，他们希望应用程序更整体、更可视化、更儿童友好，能够同时支持词汇学习和句子构建，包含更少的文字，并能与孩子一起使用。基于反馈，研究者提出了面向家长的手语学习工具的七项设计原则。研究结果表明，以句子为核心的应用程序可以作为课程的有价值补充，满足对超越词汇学习的更以家长为导向的资源需求。</w:t>
      </w:r>
    </w:p>
    <w:p>
      <w:pPr>
        <w:pStyle w:val="Heading3"/>
      </w:pPr>
      <w:r>
        <w:t>研究主要内容</w:t>
      </w:r>
    </w:p>
    <w:p>
      <w:r>
        <w:t>本文围绕一款面向聋童/听障儿童家长的荷兰手语（NGT）学习应用程序ZINinNGT的原型设计与评估展开。研究基于防止语言剥夺的背景，针对现有手语学习资源侧重词汇而忽视句子结构的问题，开发了强调句子建构的移动学习工具，并邀请目标用户（听力正常家长）和教师进行试用和反馈。研究过程包括设计原理阐述、原型测试、反馈收集和设计原则更新，最终提出七项设计原则，并认为该应用程序可辅助正式课程，弥补家长导向资源的不足。</w:t>
      </w:r>
    </w:p>
    <w:p>
      <w:pPr>
        <w:pStyle w:val="Heading3"/>
      </w:pPr>
      <w:r>
        <w:t>研究论点</w:t>
      </w:r>
    </w:p>
    <w:p>
      <w:r>
        <w:t>作者主张，面向家长的手语学习资源应超越孤立词汇教学，转向以句子为核心的结构化学习方式，并且此类工具需要结合家长日常生活中的真实场景以及儿童友好的视觉化交互设计。研究表明，句法导向的应用程序能够作为课程的补充，满足听力正常家长学习手语以支持聋童语言发展的需求。</w:t>
      </w:r>
    </w:p>
    <w:p>
      <w:pPr>
        <w:pStyle w:val="Heading3"/>
      </w:pPr>
      <w:r>
        <w:t>研究问题</w:t>
      </w:r>
    </w:p>
    <w:p>
      <w:r>
        <w:t>摘要未明确列出具体研究问题，但隐含研究问题为：如何设计和评估一款面向听力正常家长的、以句子学习为核心的荷兰手语学习应用程序？家长和教师对ZINinNGT原型的反馈如何？这些反馈如何指导设计原则的更新？</w:t>
      </w:r>
    </w:p>
    <w:p>
      <w:pPr>
        <w:pStyle w:val="Heading3"/>
      </w:pPr>
      <w:r>
        <w:t>研究方法</w:t>
      </w:r>
    </w:p>
    <w:p>
      <w:r>
        <w:t>研究类型：定性研究。样本/参与者：21位听力正常家长和6位NGT教师。数据来源：参与者逐一试用原型，并采用出声思维法（verbalizing their thoughts and actions）表达想法和操作；同时收集家长和教师对原型的反馈。分析方法：摘要未说明具体编码或分析技术（如主题分析），但根据反馈内容归纳出设计原则；具体定性分析方法缺失。</w:t>
      </w:r>
    </w:p>
    <w:p>
      <w:pPr>
        <w:pStyle w:val="Heading3"/>
      </w:pPr>
      <w:r>
        <w:t>主要发现</w:t>
      </w:r>
    </w:p>
    <w:p>
      <w:r>
        <w:t>1. 参与者对应用基于句子的学习方法反应积极，认为其有助于从词汇学习过渡到句子建构。</w:t>
      </w:r>
    </w:p>
    <w:p>
      <w:r>
        <w:t>2. 参与者认可应用满足不同学习偏好的功能，尤其是可调节播放速度和摄像头角度，并赞赏内容贴合幼儿家长的日常生活。</w:t>
      </w:r>
    </w:p>
    <w:p>
      <w:r>
        <w:t>3. 参与者希望应用更整体化、视觉化和儿童友好：能同时支持词汇和句子学习，减少文字量，并可让家长与孩子共同使用。</w:t>
      </w:r>
    </w:p>
    <w:p>
      <w:r>
        <w:t>此外，研究者根据反馈提出了面向家长手语学习工具的七项设计原则。</w:t>
      </w:r>
    </w:p>
    <w:p>
      <w:pPr>
        <w:pStyle w:val="Heading3"/>
      </w:pPr>
      <w:r>
        <w:t>对教师教育研究的启示</w:t>
      </w:r>
    </w:p>
    <w:p>
      <w:r>
        <w:t>1. 在教师教育和培训中，可借鉴该研究以用户为中心（家长与教师）的迭代设计方法，强调收集真实使用反馈以改进教学工具。</w:t>
      </w:r>
    </w:p>
    <w:p>
      <w:r>
        <w:t>2. 该研究展示了出声思维法在测评教育技术可用性和可接受性中的应用，为教师教育者评估数字资源提供了数据收集思路。</w:t>
      </w:r>
    </w:p>
    <w:p>
      <w:r>
        <w:t>3. 研究提出的“句子中心”和“儿童友好界面”原则对教师培训中整合助残和辅助技术（如手语学习APP）具有启发意义，提示教师培训应关注多模态、可交互和家庭共用的学习资源设计。</w:t>
      </w:r>
    </w:p>
    <w:p>
      <w:r>
        <w:t>4. 对教育数字化背景下的教学变革而言，该研究为教师如何支持家长参与并拓展课堂外学习提供了具体案例，启示教师教育课程需增加技术设计参与和评估能力的内容。</w:t>
      </w:r>
    </w:p>
    <w:p>
      <w:pPr>
        <w:pStyle w:val="Heading3"/>
      </w:pPr>
      <w:r>
        <w:t>APA引用格式</w:t>
      </w:r>
    </w:p>
    <w:p>
      <w:r>
        <w:t>Ritmeester, J., Sümer, B., Boonstra, M., De Meulder, M., van der Aa, B., &amp; Roelofsen, F. (2026). From words to sentences: Designing and evaluating a parent-facing sign language learning app. Universal Access in the Information Society. https://doi.org/10.1007/s10209-026-01378-9</w:t>
      </w:r>
    </w:p>
    <w:p>
      <w:r>
        <w:br w:type="page"/>
      </w:r>
    </w:p>
    <w:p>
      <w:pPr>
        <w:pStyle w:val="Heading2"/>
      </w:pPr>
      <w:r>
        <w:t>5. Professional digital competence in physical education and performing arts teacher education: transformative learning in the learning Avatar project / 体育与表演艺术教师教育中的专业数字能力：“学习阿凡达”项目中的变革性学习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Professional digital competence in physical education and performing arts teacher education: transformative learning in the learning Avatar project / 体育与表演艺术教师教育中的专业数字能力：“学习阿凡达”项目中的变革性学习</w:t>
            </w:r>
          </w:p>
        </w:tc>
      </w:tr>
      <w:tr>
        <w:tc>
          <w:tcPr>
            <w:tcW w:type="dxa" w:w="4997"/>
          </w:tcPr>
          <w:p>
            <w:r>
              <w:rPr>
                <w:b/>
              </w:rPr>
              <w:t>作者</w:t>
            </w:r>
          </w:p>
        </w:tc>
        <w:tc>
          <w:tcPr>
            <w:tcW w:type="dxa" w:w="4997"/>
          </w:tcPr>
          <w:p>
            <w:r>
              <w:t>Heidi M. Haraldsen, Annett Victoria Stornæs, Mats Osen Hordvik, Oda Julie Hembre, Veslemøy Ellefsen, Petter Erik Leirhaug</w:t>
            </w:r>
          </w:p>
        </w:tc>
      </w:tr>
      <w:tr>
        <w:tc>
          <w:tcPr>
            <w:tcW w:type="dxa" w:w="4997"/>
          </w:tcPr>
          <w:p>
            <w:r>
              <w:rPr>
                <w:b/>
              </w:rPr>
              <w:t>期刊及影响因子</w:t>
            </w:r>
          </w:p>
        </w:tc>
        <w:tc>
          <w:tcPr>
            <w:tcW w:type="dxa" w:w="4997"/>
          </w:tcPr>
          <w:p>
            <w:r>
              <w:t>期刊为European Journal of Teacher Education；SSCI分类为Education &amp; Educational Research；白名单未提供影响因子及JCR分区，因此无法报告。</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卷期信息未提供；DOI: 10.1080/02619768.2026.2717701</w:t>
            </w:r>
          </w:p>
        </w:tc>
      </w:tr>
      <w:tr>
        <w:tc>
          <w:tcPr>
            <w:tcW w:type="dxa" w:w="4997"/>
          </w:tcPr>
          <w:p>
            <w:r>
              <w:rPr>
                <w:b/>
              </w:rPr>
              <w:t>在线发表时间</w:t>
            </w:r>
          </w:p>
        </w:tc>
        <w:tc>
          <w:tcPr>
            <w:tcW w:type="dxa" w:w="4997"/>
          </w:tcPr>
          <w:p>
            <w:r>
              <w:t>2026-08-21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https://doi.org/10.1080/02619768.2026.2717701</w:t>
              </w:r>
            </w:hyperlink>
          </w:p>
        </w:tc>
      </w:tr>
    </w:tbl>
    <w:p>
      <w:pPr>
        <w:pStyle w:val="Heading3"/>
      </w:pPr>
      <w:r>
        <w:t>研究摘要</w:t>
      </w:r>
    </w:p>
    <w:p>
      <w:r>
        <w:t>摘要未提供。</w:t>
      </w:r>
    </w:p>
    <w:p>
      <w:pPr>
        <w:pStyle w:val="Heading3"/>
      </w:pPr>
      <w:r>
        <w:t>研究主要内容</w:t>
      </w:r>
    </w:p>
    <w:p>
      <w:r>
        <w:t>根据论文题目与关键词，本研究聚焦体育与表演艺术教师教育中的专业数字能力（professional digital competence），并围绕“学习阿凡达”（learning Avatar）项目探讨变革性学习（transformative learning）。研究主题涉及教师教育、技术整合、数字学习、专业发展、自我效能、数字叙事、混合学习等，但具体研究内容、理论框架与实证细节在元数据中未说明。</w:t>
      </w:r>
    </w:p>
    <w:p>
      <w:pPr>
        <w:pStyle w:val="Heading3"/>
      </w:pPr>
      <w:r>
        <w:t>研究论点</w:t>
      </w:r>
    </w:p>
    <w:p>
      <w:r>
        <w:t>摘要未说明。依据标题推断，作者可能论证了通过阿凡达项目促进体育与表演艺术教师教育中的变革性学习，以提升教师的专业数字能力；但由于缺乏摘要，无法确认具体论点与立场。</w:t>
      </w:r>
    </w:p>
    <w:p>
      <w:pPr>
        <w:pStyle w:val="Heading3"/>
      </w:pPr>
      <w:r>
        <w:t>研究问题</w:t>
      </w:r>
    </w:p>
    <w:p>
      <w:r>
        <w:t>摘要未说明。</w:t>
      </w:r>
    </w:p>
    <w:p>
      <w:pPr>
        <w:pStyle w:val="Heading3"/>
      </w:pPr>
      <w:r>
        <w:t>研究方法</w:t>
      </w:r>
    </w:p>
    <w:p>
      <w:r>
        <w:t>摘要未说明。关键词包含“Qualitative research”，提示可能采用定性研究设计，但样本、参与者、数据来源（如访谈、观察、数字叙事等）以及分析方法（如主题分析、扎根理论等）均未在元数据中提供。另有“Digital storytelling”“Blended learning”等关键词，可能暗示使用数字叙事或混合学习环境，但无法确证。</w:t>
      </w:r>
    </w:p>
    <w:p>
      <w:pPr>
        <w:pStyle w:val="Heading3"/>
      </w:pPr>
      <w:r>
        <w:t>主要发现</w:t>
      </w:r>
    </w:p>
    <w:p>
      <w:r>
        <w:t>['摘要未说明', '摘要未说明', '摘要未说明']</w:t>
      </w:r>
    </w:p>
    <w:p>
      <w:pPr>
        <w:pStyle w:val="Heading3"/>
      </w:pPr>
      <w:r>
        <w:t>对教师教育研究的启示</w:t>
      </w:r>
    </w:p>
    <w:p>
      <w:r>
        <w:t>摘要未提供，无法给出基于具体发现的研究启示。然而，依据论文主题，可关注以下前沿方向：其一，教师教育项目如何借助虚拟技术（如阿凡达）培养教师的专业数字能力；其二，体育与表演艺术等特定学科中技术整合的变革性学习机制；其三，如何运用数字叙事与混合学习促进教师专业发展。这些方向需结合原论文的实证结果进一步探讨。</w:t>
      </w:r>
    </w:p>
    <w:p>
      <w:pPr>
        <w:pStyle w:val="Heading3"/>
      </w:pPr>
      <w:r>
        <w:t>APA引用格式</w:t>
      </w:r>
    </w:p>
    <w:p>
      <w:r>
        <w:t>Haraldsen, H. M., Stornæs, A. V., Hordvik, M. O., Hembre, O. J., Ellefsen, V., &amp; Leirhaug, P. E. (2026). Professional digital competence in physical education and performing arts teacher education: Transformative learning in the learning Avatar project. European Journal of Teacher Education. Advance online publication. https://doi.org/10.1080/02619768.2026.2717701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93.65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su18168566" TargetMode="External"/><Relationship Id="rId10" Type="http://schemas.openxmlformats.org/officeDocument/2006/relationships/hyperlink" Target="https://doi.org/10.1177/07356331261479569" TargetMode="External"/><Relationship Id="rId11" Type="http://schemas.openxmlformats.org/officeDocument/2006/relationships/hyperlink" Target="https://doi.org/10.1016/j.intell.2026.102057" TargetMode="External"/><Relationship Id="rId12" Type="http://schemas.openxmlformats.org/officeDocument/2006/relationships/hyperlink" Target="https://doi.org/10.1007/s10209-026-01378-9" TargetMode="External"/><Relationship Id="rId13" Type="http://schemas.openxmlformats.org/officeDocument/2006/relationships/hyperlink" Target="https://doi.org/10.1080/02619768.2026.2717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