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每日SSCI文献简报｜2026-09-24</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2026-09-24 09:58:08（北京时间）</w:t>
            </w:r>
          </w:p>
        </w:tc>
      </w:tr>
      <w:tr>
        <w:tc>
          <w:tcPr>
            <w:tcW w:type="dxa" w:w="4997"/>
          </w:tcPr>
          <w:p>
            <w:r>
              <w:rPr>
                <w:b/>
              </w:rPr>
              <w:t>检索窗口</w:t>
            </w:r>
          </w:p>
        </w:tc>
        <w:tc>
          <w:tcPr>
            <w:tcW w:type="dxa" w:w="4997"/>
          </w:tcPr>
          <w:p>
            <w:r>
              <w:t>2023-09-25 — 2026-09-24</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今日文献聚焦AI/数字技术与教育融合：生成式AI学科接受、苏格拉底式AI、5G学习支持，并涉及教师沟通与实习反思。方法多元，凸显AI赋能教学、师范实践与价值教育协同趋势。</w:t>
      </w:r>
    </w:p>
    <w:p>
      <w:pPr>
        <w:pStyle w:val="Heading1"/>
      </w:pPr>
      <w:r>
        <w:t>目录</w:t>
      </w:r>
    </w:p>
    <w:p>
      <w:pPr>
        <w:pStyle w:val="ListNumber"/>
      </w:pPr>
      <w:r>
        <w:rPr>
          <w:b/>
        </w:rPr>
        <w:t>通过扩展技术接受模型对高中生接受生成式AI用于物理学习进行建模：学科信念作为远端前因</w:t>
      </w:r>
      <w:r>
        <w:t>｜Physical Review Physics Education Research｜2026-09-23</w:t>
      </w:r>
    </w:p>
    <w:p>
      <w:pPr>
        <w:pStyle w:val="ListNumber"/>
      </w:pPr>
      <w:r>
        <w:rPr>
          <w:b/>
        </w:rPr>
        <w:t>伊斯兰道德教育中的师生沟通模式：关于中学品格形成的质性研究</w:t>
      </w:r>
      <w:r>
        <w:t>｜Dirasah International Journal of Islamic Studies｜2026-09-24</w:t>
      </w:r>
    </w:p>
    <w:p>
      <w:pPr>
        <w:pStyle w:val="ListNumber"/>
      </w:pPr>
      <w:r>
        <w:rPr>
          <w:b/>
        </w:rPr>
        <w:t>教育实习作为早期儿童教师教育中的过渡、反思与责任空间</w:t>
      </w:r>
      <w:r>
        <w:t>｜European Journal of Education &amp;amp; Language Review｜2026-09-23</w:t>
      </w:r>
    </w:p>
    <w:p>
      <w:pPr>
        <w:pStyle w:val="ListNumber"/>
      </w:pPr>
      <w:r>
        <w:rPr>
          <w:b/>
        </w:rPr>
        <w:t>人工智能能成为苏格拉底式的吗？</w:t>
      </w:r>
      <w:r>
        <w:t>｜Filosofija. Sociologija｜2026-09-23</w:t>
      </w:r>
    </w:p>
    <w:p>
      <w:pPr>
        <w:pStyle w:val="ListNumber"/>
      </w:pPr>
      <w:r>
        <w:rPr>
          <w:b/>
        </w:rPr>
        <w:t>面向智能5G系统的认知网络框架：基于AI的流量分析与自适应优化</w:t>
      </w:r>
      <w:r>
        <w:t>｜Discover Artificial Intelligence｜2026-09-23</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Modeling high school students’ acceptance of GenAI for physics learning via an extended technology acceptance model: Disciplinary beliefs as a distal antecedent / 通过扩展技术接受模型对高中生接受生成式AI用于物理学习进行建模：学科信念作为远端前因</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Modeling high school students’ acceptance of GenAI for physics learning via an extended technology acceptance model: Disciplinary beliefs as a distal antecedent / 通过扩展技术接受模型对高中生接受生成式AI用于物理学习进行建模：学科信念作为远端前因</w:t>
            </w:r>
          </w:p>
        </w:tc>
      </w:tr>
      <w:tr>
        <w:tc>
          <w:tcPr>
            <w:tcW w:type="dxa" w:w="4997"/>
          </w:tcPr>
          <w:p>
            <w:r>
              <w:rPr>
                <w:b/>
              </w:rPr>
              <w:t>作者</w:t>
            </w:r>
          </w:p>
        </w:tc>
        <w:tc>
          <w:tcPr>
            <w:tcW w:type="dxa" w:w="4997"/>
          </w:tcPr>
          <w:p>
            <w:r>
              <w:t>元数据作者字段标注为“Anonymous”（匿名），未提供具体作者姓名、机构或贡献信息；摘要未提供，无法补充作者相关背景。</w:t>
            </w:r>
          </w:p>
        </w:tc>
      </w:tr>
      <w:tr>
        <w:tc>
          <w:tcPr>
            <w:tcW w:type="dxa" w:w="4997"/>
          </w:tcPr>
          <w:p>
            <w:r>
              <w:rPr>
                <w:b/>
              </w:rPr>
              <w:t>期刊及影响因子</w:t>
            </w:r>
          </w:p>
        </w:tc>
        <w:tc>
          <w:tcPr>
            <w:tcW w:type="dxa" w:w="4997"/>
          </w:tcPr>
          <w:p>
            <w:r>
              <w:t>期刊：Physical Review Physics Education Research；SSCI分类：Education &amp; Educational Research（English）。影响因子与JCR分区：白名单未提供影响因子、白名单未提供JCR分区。摘要未提供，无法从摘要判断期刊层面的其他计量信息。</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2469-9896</w:t>
            </w:r>
          </w:p>
        </w:tc>
      </w:tr>
      <w:tr>
        <w:tc>
          <w:tcPr>
            <w:tcW w:type="dxa" w:w="4997"/>
          </w:tcPr>
          <w:p>
            <w:r>
              <w:rPr>
                <w:b/>
              </w:rPr>
              <w:t>卷期/DOI</w:t>
            </w:r>
          </w:p>
        </w:tc>
        <w:tc>
          <w:tcPr>
            <w:tcW w:type="dxa" w:w="4997"/>
          </w:tcPr>
          <w:p>
            <w:r>
              <w:t>卷、期、页码：元数据未提供（摘要未提供，无法确认）。DOI：10.1103/62m6-lkh7</w:t>
            </w:r>
          </w:p>
        </w:tc>
      </w:tr>
      <w:tr>
        <w:tc>
          <w:tcPr>
            <w:tcW w:type="dxa" w:w="4997"/>
          </w:tcPr>
          <w:p>
            <w:r>
              <w:rPr>
                <w:b/>
              </w:rPr>
              <w:t>在线发表时间</w:t>
            </w:r>
          </w:p>
        </w:tc>
        <w:tc>
          <w:tcPr>
            <w:tcW w:type="dxa" w:w="4997"/>
          </w:tcPr>
          <w:p>
            <w:r>
              <w:t>2026-09-23（依据元数据所给发表日期；摘要未提供，无法判断是否为在线优先出版日期）</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https://doi.org/10.1103/62m6-lkh7</w:t>
              </w:r>
            </w:hyperlink>
          </w:p>
        </w:tc>
      </w:tr>
    </w:tbl>
    <w:p>
      <w:pPr>
        <w:pStyle w:val="Heading3"/>
      </w:pPr>
      <w:r>
        <w:t>研究摘要</w:t>
      </w:r>
    </w:p>
    <w:p>
      <w:r>
        <w:t>摘要未提供。元数据中仅包含标题、期刊、SSCI分类、发表日期、DOI与链接，未给出摘要正文，因此无法在不编造信息的前提下生成研究摘要。据标题可识别的信息仅为：研究对象为高中生（high school students），研究情境为物理学习（physics learning），研究主题为对生成式AI（GenAI）的接受度，所采用的建模框架为扩展技术接受模型（extended technology acceptance model），并引入“学科信念（disciplinary beliefs）”作为远端前因（distal antecedent）。以上仅为标题字面信息，不构成对研究内容、变量关系与结论的实质描述。</w:t>
      </w:r>
    </w:p>
    <w:p>
      <w:pPr>
        <w:pStyle w:val="Heading3"/>
      </w:pPr>
      <w:r>
        <w:t>研究主要内容</w:t>
      </w:r>
    </w:p>
    <w:p>
      <w:r>
        <w:t>摘要未提供，无法呈现论文的主要内容。仅就标题字面信息而言，本文似围绕高中物理学习情境中生成式AI接受度的建模展开，将“学科信念”设定为远端前因，并在技术接受模型基础上进行扩展。研究的具体理论框架细节、变量构成、模型路径、研究情境（如国别、学校类型、具体GenAI工具）等在元数据中均未说明。</w:t>
      </w:r>
    </w:p>
    <w:p>
      <w:pPr>
        <w:pStyle w:val="Heading3"/>
      </w:pPr>
      <w:r>
        <w:t>研究论点</w:t>
      </w:r>
    </w:p>
    <w:p>
      <w:r>
        <w:t>摘要未说明。无法判断作者提出的核心论点与理论主张；仅可依据标题推测其可能主张“学科信念作为远端前因”会影响高中生对生成式AI用于物理学习的接受度，但该推测未获摘要或元数据支持，不应作为论文结论使用。</w:t>
      </w:r>
    </w:p>
    <w:p>
      <w:pPr>
        <w:pStyle w:val="Heading3"/>
      </w:pPr>
      <w:r>
        <w:t>研究问题</w:t>
      </w:r>
    </w:p>
    <w:p>
      <w:r>
        <w:t>摘要未说明。元数据未提供研究问题或假设。仅从标题可推断其可能关注的问题方向为：高中生在物理学习中接受生成式AI的机制如何被技术接受模型解释，以及学科信念作为远端前因在其中扮演何种角色。以上为标题层面的推断，非摘要原文内容。</w:t>
      </w:r>
    </w:p>
    <w:p>
      <w:pPr>
        <w:pStyle w:val="Heading3"/>
      </w:pPr>
      <w:r>
        <w:t>研究方法</w:t>
      </w:r>
    </w:p>
    <w:p>
      <w:r>
        <w:t>摘要未提供，研究方法相关信息缺失。具体缺失项包括：（1）研究类型（定量／定性／混合方法）未说明；（2）样本或参与者（人数、年级、学校、地区、抽样方式）未说明；（3）数据来源（问卷、量表、访谈、日志数据等）未说明；（4）分析方法（如结构方程模型、偏最小二乘路径建模、验证性因子分析、测量不变性检验等）未说明。仅由标题可判断其可能采用“扩展技术接受模型”的建模思路，暗示存在问卷式定量建模的可能，但此点未获摘要证实。</w:t>
      </w:r>
    </w:p>
    <w:p>
      <w:pPr>
        <w:pStyle w:val="Heading3"/>
      </w:pPr>
      <w:r>
        <w:t>主要发现</w:t>
      </w:r>
    </w:p>
    <w:p>
      <w:r>
        <w:t>1. 摘要未提供，无法呈现任何具体研究发现（如路径系数、效应量、解释方差比例等）。2. 摘要未提供，无法说明“学科信念”作为远端前因对生成式AI接受度的实际作用方向与显著性。3. 摘要未提供，无法说明该扩展模型相较原始技术接受模型的解释力提升情况，也无法说明是否存在中介或调节机制。</w:t>
      </w:r>
    </w:p>
    <w:p>
      <w:pPr>
        <w:pStyle w:val="Heading3"/>
      </w:pPr>
      <w:r>
        <w:t>对教师教育研究的启示</w:t>
      </w:r>
    </w:p>
    <w:p>
      <w:r>
        <w:t>由于摘要缺失，本文对教师教育研究的实质启示无法从现有元数据中提取，以下仅为基于主题与研究设计层面的阅读提示，不构成对论文结论的转述：第一，主题前沿性在于“生成式AI接受度”从通用技术接受模型向具体学科情境（物理）与学科信念前因的延伸，若用于教师教育研究，可关注如何将类似“远端前因—近端信念—使用意向”的建模思路迁移到教师群体的AI教学应用意向研究。第二，研究设计层面，此类研究通常涉及量表开发或改编、信效度检验与路径模型估计，教师在阅读时应重点核查测量工具来源、量表跨群体适用性以及模型拟合与替代模型比较的证据。第三，数据收集与分析层面，需关注样本量是否满足潜变量建模要求、抽样是否具代表性、是否存在共同方法偏差处理，以及是否报告了间接效应与置信区间。上述判断均以标题所示框架为线索，实际方法与数据仍需获取全文与摘要后核实。</w:t>
      </w:r>
    </w:p>
    <w:p>
      <w:pPr>
        <w:pStyle w:val="Heading3"/>
      </w:pPr>
      <w:r>
        <w:t>APA引用格式</w:t>
      </w:r>
    </w:p>
    <w:p>
      <w:r>
        <w:t>Anonymous. (2026). Modeling high school students’ acceptance of GenAI for physics learning via an extended technology acceptance model: Disciplinary beliefs as a distal antecedent. Physical Review Physics Education Research. https://doi.org/10.1103/62m6-lkh7</w:t>
      </w:r>
    </w:p>
    <w:p>
      <w:r>
        <w:br w:type="page"/>
      </w:r>
    </w:p>
    <w:p>
      <w:pPr>
        <w:pStyle w:val="Heading2"/>
      </w:pPr>
      <w:r>
        <w:t>2. Teacher–Student Communication Patterns in Islamic Moral Education: A Qualitative Study on Character Formation in Secondary Schools / 伊斯兰道德教育中的师生沟通模式：关于中学品格形成的质性研究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Teacher–Student Communication Patterns in Islamic Moral Education: A Qualitative Study on Character Formation in Secondary Schools / 伊斯兰道德教育中的师生沟通模式：关于中学品格形成的质性研究</w:t>
            </w:r>
          </w:p>
        </w:tc>
      </w:tr>
      <w:tr>
        <w:tc>
          <w:tcPr>
            <w:tcW w:type="dxa" w:w="4997"/>
          </w:tcPr>
          <w:p>
            <w:r>
              <w:rPr>
                <w:b/>
              </w:rPr>
              <w:t>作者</w:t>
            </w:r>
          </w:p>
        </w:tc>
        <w:tc>
          <w:tcPr>
            <w:tcW w:type="dxa" w:w="4997"/>
          </w:tcPr>
          <w:p>
            <w:r>
              <w:t>Adiyono Adiyono、Wahidin Wahidin、Mohd Kasturi Nor Bin Abd Aziz、M. Suyudi、Fouad Boulkroun</w:t>
            </w:r>
          </w:p>
        </w:tc>
      </w:tr>
      <w:tr>
        <w:tc>
          <w:tcPr>
            <w:tcW w:type="dxa" w:w="4997"/>
          </w:tcPr>
          <w:p>
            <w:r>
              <w:rPr>
                <w:b/>
              </w:rPr>
              <w:t>期刊及影响因子</w:t>
            </w:r>
          </w:p>
        </w:tc>
        <w:tc>
          <w:tcPr>
            <w:tcW w:type="dxa" w:w="4997"/>
          </w:tcPr>
          <w:p>
            <w:r>
              <w:t>期刊：Dirasah International Journal of Islamic Studies；SSCI分类：International Relations；影响因子/分区：白名单未提供影响因子 / 白名单未提供JCR分区，无法判断。</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10.59373/drs.v4i2.62；元数据未单独列出卷期，DOI中v4i2提示可能为第4卷第2期。</w:t>
            </w:r>
          </w:p>
        </w:tc>
      </w:tr>
      <w:tr>
        <w:tc>
          <w:tcPr>
            <w:tcW w:type="dxa" w:w="4997"/>
          </w:tcPr>
          <w:p>
            <w:r>
              <w:rPr>
                <w:b/>
              </w:rPr>
              <w:t>在线发表时间</w:t>
            </w:r>
          </w:p>
        </w:tc>
        <w:tc>
          <w:tcPr>
            <w:tcW w:type="dxa" w:w="4997"/>
          </w:tcPr>
          <w:p>
            <w:r>
              <w:t>2026-09-24</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0">
              <w:r>
                <w:rPr>
                  <w:color w:val="0563C1"/>
                  <w:u w:val="single"/>
                </w:rPr>
                <w:t>https://doi.org/10.59373/drs.v4i2.62</w:t>
              </w:r>
            </w:hyperlink>
          </w:p>
        </w:tc>
      </w:tr>
    </w:tbl>
    <w:p>
      <w:pPr>
        <w:pStyle w:val="Heading3"/>
      </w:pPr>
      <w:r>
        <w:t>研究摘要</w:t>
      </w:r>
    </w:p>
    <w:p>
      <w:r>
        <w:t>学生道德下滑已成为全球化和数字化转型中的关键问题，尤其在以品格培养为首要目标的伊斯兰教育中更为突出。本研究旨在分析Aqidah Akhlak（信仰与道德）学习中的师生沟通模式如何促进伊斯兰中学学生道德品格的形成。研究在MTs Bina Iman Pasir Belengkong采用描述性质性研究，参与者包括1名教师、15名七年级A班学生，校长为支持性信息提供者。数据收集方法包括观察、半结构化访谈和文献资料，数据分析采用Miles和Huberman互动模型。结果显示，教师实施了单向、双向和多向沟通模式的组合，并根据学习动态进行调整。这些沟通策略被证明能改善学生道德行为，如尊重增加、粗俗语言减少、合作增加和时间纪律增强。本研究还识别出支持因素，如宗教学校环境和家长参与，以及抑制因素，如数字媒体影响和学习时间有限。研究启示确认，沟通是道德教育中的有效教学策略，因此需要将其整合进教师培训和课程开发。研究建议未来扩展研究情境、采用混合方法，并考察数字媒体在学生道德形成中的作用。</w:t>
      </w:r>
    </w:p>
    <w:p>
      <w:pPr>
        <w:pStyle w:val="Heading3"/>
      </w:pPr>
      <w:r>
        <w:t>研究主要内容</w:t>
      </w:r>
    </w:p>
    <w:p>
      <w:r>
        <w:t>该研究聚焦全球化和数字化转型背景下学生道德下滑问题，特别是伊斯兰教育以品格培养为首要目标。研究在MTs Bina Iman Pasir Belengkong，以描述性质性设计分析Aqidah Akhlak学习中师生沟通模式如何促进学生道德品格形成。数据通过观察、半结构化访谈和文献收集，采用Miles和Huberman互动模型分析。结果显示，教师根据学习动态组合使用单向、双向和多向沟通；学生道德行为改善，包括尊重增加、粗俗语言减少、合作增加和时间纪律增强。支持因素为宗教学校环境和家长参与，抑制因素为数字媒体影响和学习时间有限。研究主张将沟通作为道德教育有效教学策略纳入教师培训和课程开发，并建议扩展情境、采用混合方法、研究数字媒体作用。</w:t>
      </w:r>
    </w:p>
    <w:p>
      <w:pPr>
        <w:pStyle w:val="Heading3"/>
      </w:pPr>
      <w:r>
        <w:t>研究论点</w:t>
      </w:r>
    </w:p>
    <w:p>
      <w:r>
        <w:t>核心论证：在伊斯兰中学道德教育中，师生沟通不是单一模式，而是需要依据学习动态组合单向、双向和多向沟通；这种沟通策略能有效促进学生道德品格与行为改善，因此应被视作可培训、可课程化的教学策略。同时，数字媒体等抑制因素意味着道德教育需关注教育数字化背景下的师生互动与教师角色。</w:t>
      </w:r>
    </w:p>
    <w:p>
      <w:pPr>
        <w:pStyle w:val="Heading3"/>
      </w:pPr>
      <w:r>
        <w:t>研究问题</w:t>
      </w:r>
    </w:p>
    <w:p>
      <w:r>
        <w:t>摘要明确研究目的为：分析Aqidah Akhlak学习中师生沟通模式如何促进伊斯兰中学学生道德品格形成。摘要未以独立研究问题形式列出支持因素、抑制因素或数字媒体影响等子问题。</w:t>
      </w:r>
    </w:p>
    <w:p>
      <w:pPr>
        <w:pStyle w:val="Heading3"/>
      </w:pPr>
      <w:r>
        <w:t>研究方法</w:t>
      </w:r>
    </w:p>
    <w:p>
      <w:r>
        <w:t>研究类型：描述性质性研究。样本/参与者：MTs Bina Iman Pasir Belengkong的1名教师、15名七年级A班学生；校长作为支持性信息提供者。数据来源/收集：观察、半结构化访谈、文献/文件资料。分析方法：Miles和Huberman互动模型。抽样方法、研究周期、访谈提纲、编码一致性、信效度策略、伦理审查等信息：摘要未说明。定量数据或混合方法设计：摘要未说明；根据摘要描述为质性研究。</w:t>
      </w:r>
    </w:p>
    <w:p>
      <w:pPr>
        <w:pStyle w:val="Heading3"/>
      </w:pPr>
      <w:r>
        <w:t>主要发现</w:t>
      </w:r>
    </w:p>
    <w:p>
      <w:r>
        <w:t>1）教师实施单向、双向和多向沟通模式的组合，并根据学习动态进行调整；2）这些沟通策略被证明改善了学生道德行为，包括尊重增加、粗俗语言减少、合作增加和时间纪律增强；3）支持因素包括宗教学校环境和家长参与，抑制因素包括数字媒体影响和学习时间有限。</w:t>
      </w:r>
    </w:p>
    <w:p>
      <w:pPr>
        <w:pStyle w:val="Heading3"/>
      </w:pPr>
      <w:r>
        <w:t>对教师教育研究的启示</w:t>
      </w:r>
    </w:p>
    <w:p>
      <w:r>
        <w:t>前沿主题：该文虽非AI主题，但处于数字化转型与道德教育交叉背景，关注师生沟通、品格形成和教师培训课程整合，可为教育数字化背景下教师角色与师生互动研究提供参照。研究设计：小规模描述性质性设计，适合探究沟通模式与道德形成的机制。数据收集：观察、半结构化访谈和文献，多主体（教师、学生、校长）信息有助于三角互证。分析方法：Miles和Huberman互动模型，可为教师教育质性研究提供编码、归纳与矩阵分析参考。对教师教育的启示：沟通能力应纳入教师培训和课程开发；未来可扩展情境、采用混合方法，并考察数字媒体对学生道德形成及教师沟通策略的影响。</w:t>
      </w:r>
    </w:p>
    <w:p>
      <w:pPr>
        <w:pStyle w:val="Heading3"/>
      </w:pPr>
      <w:r>
        <w:t>APA引用格式</w:t>
      </w:r>
    </w:p>
    <w:p>
      <w:r>
        <w:t>Adiyono, A., Wahidin, W., Abd Aziz, M. K. N. B., Suyudi, M., &amp; Boulkroun, F. (2026). Teacher–Student Communication Patterns in Islamic Moral Education: A Qualitative Study on Character Formation in Secondary Schools. Dirasah International Journal of Islamic Studies, 4(2). https://doi.org/10.59373/drs.v4i2.62</w:t>
      </w:r>
    </w:p>
    <w:p>
      <w:r>
        <w:br w:type="page"/>
      </w:r>
    </w:p>
    <w:p>
      <w:pPr>
        <w:pStyle w:val="Heading2"/>
      </w:pPr>
      <w:r>
        <w:t>3. Practicum as a space of transition, reflection, and responsibility in early childhood teacher education / 教育实习作为早期儿童教师教育中的过渡、反思与责任空间</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Practicum as a space of transition, reflection, and responsibility in early childhood teacher education / 教育实习作为早期儿童教师教育中的过渡、反思与责任空间</w:t>
            </w:r>
          </w:p>
        </w:tc>
      </w:tr>
      <w:tr>
        <w:tc>
          <w:tcPr>
            <w:tcW w:type="dxa" w:w="4997"/>
          </w:tcPr>
          <w:p>
            <w:r>
              <w:rPr>
                <w:b/>
              </w:rPr>
              <w:t>作者</w:t>
            </w:r>
          </w:p>
        </w:tc>
        <w:tc>
          <w:tcPr>
            <w:tcW w:type="dxa" w:w="4997"/>
          </w:tcPr>
          <w:p>
            <w:r>
              <w:t>Magdalini Vitsou, Anastasios Siatras</w:t>
            </w:r>
          </w:p>
        </w:tc>
      </w:tr>
      <w:tr>
        <w:tc>
          <w:tcPr>
            <w:tcW w:type="dxa" w:w="4997"/>
          </w:tcPr>
          <w:p>
            <w:r>
              <w:rPr>
                <w:b/>
              </w:rPr>
              <w:t>期刊及影响因子</w:t>
            </w:r>
          </w:p>
        </w:tc>
        <w:tc>
          <w:tcPr>
            <w:tcW w:type="dxa" w:w="4997"/>
          </w:tcPr>
          <w:p>
            <w:r>
              <w:t>期刊：European Journal of Education &amp; Language Review；SSCI分类：Education &amp; Educational Research；影响因子/JCR分区：白名单未提供影响因子，白名单未提供JCR分区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WILEY</w:t>
            </w:r>
          </w:p>
        </w:tc>
      </w:tr>
      <w:tr>
        <w:tc>
          <w:tcPr>
            <w:tcW w:type="dxa" w:w="4997"/>
          </w:tcPr>
          <w:p>
            <w:r>
              <w:rPr>
                <w:b/>
              </w:rPr>
              <w:t>卷期/DOI</w:t>
            </w:r>
          </w:p>
        </w:tc>
        <w:tc>
          <w:tcPr>
            <w:tcW w:type="dxa" w:w="4997"/>
          </w:tcPr>
          <w:p>
            <w:r>
              <w:t>卷期信息摘要未说明；DOI: 10.20897/ejelr/19338</w:t>
            </w:r>
          </w:p>
        </w:tc>
      </w:tr>
      <w:tr>
        <w:tc>
          <w:tcPr>
            <w:tcW w:type="dxa" w:w="4997"/>
          </w:tcPr>
          <w:p>
            <w:r>
              <w:rPr>
                <w:b/>
              </w:rPr>
              <w:t>在线发表时间</w:t>
            </w:r>
          </w:p>
        </w:tc>
        <w:tc>
          <w:tcPr>
            <w:tcW w:type="dxa" w:w="4997"/>
          </w:tcPr>
          <w:p>
            <w:r>
              <w:t>2026-09-23</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11">
              <w:r>
                <w:rPr>
                  <w:color w:val="0563C1"/>
                  <w:u w:val="single"/>
                </w:rPr>
                <w:t>https://doi.org/10.20897/ejelr/19338</w:t>
              </w:r>
            </w:hyperlink>
          </w:p>
        </w:tc>
      </w:tr>
    </w:tbl>
    <w:p>
      <w:pPr>
        <w:pStyle w:val="Heading3"/>
      </w:pPr>
      <w:r>
        <w:t>研究摘要</w:t>
      </w:r>
    </w:p>
    <w:p>
      <w:r>
        <w:t>教育实习（practicum，即教师实地安置）是初始教师教育中重要的专业学习场域，它将理论知识与教育实践、情感投入、合作以及专业身份认同联系起来。尽管已有文献广泛考察了实习经历，但对职前教师进入实地之前的期待，以及课程中不同实习层级所带来的差异，关注相对不足。本文旨在比较探究希腊某学前教育系237名职前教师（其中98人处于第三学期，139人处于第七学期）如何理解即将到来的实地经验、表达了哪些情绪与期待，以及他们识别出哪些准备、支持与评价方面的需求。研究采用横断面描述性设计，结合量化与质性数据；数据通过包含封闭式与开放式问题的在线问卷收集，并采用描述性统计与质性内容分析进行处理。研究发现，合作与支持在两组中均为主要主题。第三学期职前教师更关注熟悉幼儿园环境、与儿童的关系，以及首次实地经验带来的热情；第七学期职前教师则更强调活动计划、课堂管理、焦虑、反馈、反思以及对实习组织安排的批判性制度意识。此外，评价偏好从最终作业转向螺旋式与反思性过程，表明在更复杂的实习课程中对形成性评价的认同有所增强。该研究通过凸显实习模式在初始早期儿童教师教育中的重要性，为相关讨论作出贡献。</w:t>
      </w:r>
    </w:p>
    <w:p>
      <w:pPr>
        <w:pStyle w:val="Heading3"/>
      </w:pPr>
      <w:r>
        <w:t>研究主要内容</w:t>
      </w:r>
    </w:p>
    <w:p>
      <w:r>
        <w:t>论文聚焦希腊一所大学学前教育系职前教师在进入教育实习前的期待、情绪与需求，并比较处于课程不同阶段（第三学期与第七学期）的两组职前教师的差异。研究将实习视为连接理论与实践、情感投入、合作与专业身份建构的专业学习空间，考察职前教师对即将到来的实地经验的意义建构，以及他们在准备、支持与评价方面的需求。数据来自包含封闭式与开放式题目的在线问卷，通过描述性统计与质性内容分析揭示两组在职前关注点、情绪体验和评价偏好上的差异，并据此讨论实习模式在初始早期儿童教师教育中的作用。</w:t>
      </w:r>
    </w:p>
    <w:p>
      <w:pPr>
        <w:pStyle w:val="Heading3"/>
      </w:pPr>
      <w:r>
        <w:t>研究论点</w:t>
      </w:r>
    </w:p>
    <w:p>
      <w:r>
        <w:t>作者的核心论点是：教育实习并非单一、同质的经历，而是一个随课程层级推进而变化的“过渡、反思与责任”空间；职前教师在实习前的期待、情绪与需求会因所处学期不同而呈现系统性差异。因此，早期儿童教师教育应重视实习模式的层级化设计，将合作与支持作为核心，并逐步从熟悉环境、建立关系转向计划、课堂管理、反馈与反思，同时将评价从终结性作业转向螺旋式、反思性与形成性过程。</w:t>
      </w:r>
    </w:p>
    <w:p>
      <w:pPr>
        <w:pStyle w:val="Heading3"/>
      </w:pPr>
      <w:r>
        <w:t>研究问题</w:t>
      </w:r>
    </w:p>
    <w:p>
      <w:r>
        <w:t>研究旨在比较探究：(1) 处于第三学期与第七学期的职前教师如何理解即将到来的实习实地经验；(2) 他们表达了哪些情绪与期待；(3) 他们识别出哪些在准备、支持与评价方面的需求。摘要未以编号形式明确列出研究问题或假设，上述内容系依据研究目的表述归纳。</w:t>
      </w:r>
    </w:p>
    <w:p>
      <w:pPr>
        <w:pStyle w:val="Heading3"/>
      </w:pPr>
      <w:r>
        <w:t>研究方法</w:t>
      </w:r>
    </w:p>
    <w:p>
      <w:r>
        <w:t>研究类型：横断面描述性设计，采用量化与质性相结合的混合方法（摘要表述为“combining quantitative and qualitative data”，未使用更细的混合方法类型命名）。样本/参与者：希腊某大学学前教育系237名职前教师，其中98人注册于第三学期，139人注册于第七学期。数据来源：在线问卷，包含封闭式题目与开放式问题。分析方法：封闭式数据采用描述性统计，开放式回答采用质性内容分析。抽样方式、问卷具体维度与题项、施测时间、信效度检验、伦理审查程序等，摘要未说明。</w:t>
      </w:r>
    </w:p>
    <w:p>
      <w:pPr>
        <w:pStyle w:val="Heading3"/>
      </w:pPr>
      <w:r>
        <w:t>主要发现</w:t>
      </w:r>
    </w:p>
    <w:p>
      <w:r>
        <w:t>1. 合作与支持是第三学期和第七学期两组职前教师共同的核心主题，说明人际关系与支持系统被视为实习准备的关键。2. 两组关注点存在阶段性差异：第三学期职前教师更聚焦于熟悉幼儿园环境、与儿童建立关系以及首次实地经验带来的热情；第七学期职前教师则更强调活动计划、课堂管理、焦虑、反馈、反思，以及对实习组织安排的批判性制度意识。3. 评价偏好发生转变：随着实习课程复杂度提高，职前教师的评价偏好从最终作业转向螺旋式与反思性过程，体现出对形成性评价的认同增强。</w:t>
      </w:r>
    </w:p>
    <w:p>
      <w:pPr>
        <w:pStyle w:val="Heading3"/>
      </w:pPr>
      <w:r>
        <w:t>对教师教育研究的启示</w:t>
      </w:r>
    </w:p>
    <w:p>
      <w:r>
        <w:t>对教师教育研究的启示：第一，研究主题上，该文将“实习前的期待与情绪”作为独立研究对象，并以课程学期为比较维度，提示后续研究可关注职前教师专业发展的时间性与阶段性，而非仅考察实习结束后的结果。第二，研究设计上，采用横断面比较设计，以同一专业内不同实习层级的自然分组进行对照，为在教师教育项目中开展低成本、可复制的阶段性比较提供了范例；但横断面设计无法追踪同一批职前教师的期待变化，未来可采用纵向追踪或准实验设计。第三，数据收集上，使用含封闭式与开放式题目的在线问卷，兼顾可统计的量化指标与可深入解读的质性叙述，适合在较大样本（本研究的237人）中同时获取情绪、期待与需求信息；后续研究可补充访谈、焦点小组或实习观察，以增强解释深度。第四，分析方法上，描述性统计与质性内容分析相结合，用于识别跨组共有的主题与组间差异，可作为教师教育研究中问卷开放题分析的可借鉴路径；若需检验组间差异的统计显著性，摘要未说明是否开展推论统计。第五，实践与政策层面，研究提示教师教育者应在不同实习阶段提供差异化支持：早期阶段侧重环境熟悉、关系建立与情绪支持，后期阶段侧重计划、课堂管理、反馈与反思能力，并推动形成性、螺旋式评价机制，同时关注实习组织层面的制度性因素。</w:t>
      </w:r>
    </w:p>
    <w:p>
      <w:pPr>
        <w:pStyle w:val="Heading3"/>
      </w:pPr>
      <w:r>
        <w:t>APA引用格式</w:t>
      </w:r>
    </w:p>
    <w:p>
      <w:r>
        <w:t>Vitsou, M., &amp; Siatras, A. (2026). Practicum as a space of transition, reflection, and responsibility in early childhood teacher education. European Journal of Education &amp; Language Review. https://doi.org/10.20897/ejelr/19338</w:t>
      </w:r>
    </w:p>
    <w:p>
      <w:r>
        <w:br w:type="page"/>
      </w:r>
    </w:p>
    <w:p>
      <w:pPr>
        <w:pStyle w:val="Heading2"/>
      </w:pPr>
      <w:r>
        <w:t>4. Can Artificial Intelligence be Socratic? / 人工智能能成为苏格拉底式的吗？</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Can Artificial Intelligence be Socratic? / 人工智能能成为苏格拉底式的吗？</w:t>
            </w:r>
          </w:p>
        </w:tc>
      </w:tr>
      <w:tr>
        <w:tc>
          <w:tcPr>
            <w:tcW w:type="dxa" w:w="4997"/>
          </w:tcPr>
          <w:p>
            <w:r>
              <w:rPr>
                <w:b/>
              </w:rPr>
              <w:t>作者</w:t>
            </w:r>
          </w:p>
        </w:tc>
        <w:tc>
          <w:tcPr>
            <w:tcW w:type="dxa" w:w="4997"/>
          </w:tcPr>
          <w:p>
            <w:r>
              <w:t>Aiste Dirzyte, Aleksandras Patapas</w:t>
            </w:r>
          </w:p>
        </w:tc>
      </w:tr>
      <w:tr>
        <w:tc>
          <w:tcPr>
            <w:tcW w:type="dxa" w:w="4997"/>
          </w:tcPr>
          <w:p>
            <w:r>
              <w:rPr>
                <w:b/>
              </w:rPr>
              <w:t>期刊及影响因子</w:t>
            </w:r>
          </w:p>
        </w:tc>
        <w:tc>
          <w:tcPr>
            <w:tcW w:type="dxa" w:w="4997"/>
          </w:tcPr>
          <w:p>
            <w:r>
              <w:t>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0235-7186</w:t>
            </w:r>
          </w:p>
        </w:tc>
      </w:tr>
      <w:tr>
        <w:tc>
          <w:tcPr>
            <w:tcW w:type="dxa" w:w="4997"/>
          </w:tcPr>
          <w:p>
            <w:r>
              <w:rPr>
                <w:b/>
              </w:rPr>
              <w:t>卷期/DOI</w:t>
            </w:r>
          </w:p>
        </w:tc>
        <w:tc>
          <w:tcPr>
            <w:tcW w:type="dxa" w:w="4997"/>
          </w:tcPr>
          <w:p>
            <w:r>
              <w:t>DOI: 10.6001/fil-soc.2026.37.3.12（卷期信息未在元数据中单独列明；DOI中可见37.3.12）</w:t>
            </w:r>
          </w:p>
        </w:tc>
      </w:tr>
      <w:tr>
        <w:tc>
          <w:tcPr>
            <w:tcW w:type="dxa" w:w="4997"/>
          </w:tcPr>
          <w:p>
            <w:r>
              <w:rPr>
                <w:b/>
              </w:rPr>
              <w:t>在线发表时间</w:t>
            </w:r>
          </w:p>
        </w:tc>
        <w:tc>
          <w:tcPr>
            <w:tcW w:type="dxa" w:w="4997"/>
          </w:tcPr>
          <w:p>
            <w:r>
              <w:t>2026-09-23</w:t>
            </w:r>
          </w:p>
        </w:tc>
      </w:tr>
      <w:tr>
        <w:tc>
          <w:tcPr>
            <w:tcW w:type="dxa" w:w="4997"/>
          </w:tcPr>
          <w:p>
            <w:r>
              <w:rPr>
                <w:b/>
              </w:rPr>
              <w:t>SSCI分类</w:t>
            </w:r>
          </w:p>
        </w:tc>
        <w:tc>
          <w:tcPr>
            <w:tcW w:type="dxa" w:w="4997"/>
          </w:tcPr>
          <w:p>
            <w:r>
              <w:t>Multi-Language；Sociology</w:t>
            </w:r>
          </w:p>
        </w:tc>
      </w:tr>
      <w:tr>
        <w:tc>
          <w:tcPr>
            <w:tcW w:type="dxa" w:w="4997"/>
          </w:tcPr>
          <w:p>
            <w:r>
              <w:rPr>
                <w:b/>
              </w:rPr>
              <w:t>论文链接</w:t>
            </w:r>
          </w:p>
        </w:tc>
        <w:tc>
          <w:tcPr>
            <w:tcW w:type="dxa" w:w="4997"/>
          </w:tcPr>
          <w:p>
            <w:hyperlink r:id="rId12">
              <w:r>
                <w:rPr>
                  <w:color w:val="0563C1"/>
                  <w:u w:val="single"/>
                </w:rPr>
                <w:t>https://doi.org/10.6001/fil-soc.2026.37.3.12</w:t>
              </w:r>
            </w:hyperlink>
          </w:p>
        </w:tc>
      </w:tr>
    </w:tbl>
    <w:p>
      <w:pPr>
        <w:pStyle w:val="Heading3"/>
      </w:pPr>
      <w:r>
        <w:t>研究摘要</w:t>
      </w:r>
    </w:p>
    <w:p>
      <w:r>
        <w:t>本文是一篇概念性/哲学性论文，引入“苏格拉底智能”（Socratic Intelligence, SI）概念，并提出五项前提：（1）人工代理与人类代理都通过观察、互动以及对互动的反思性检视来学习；（2）学到什么取决于元认知与强化；（3）SI包含五个相互关联的维度：认识好奇心、批判性自我意识、假设分析、对话能力与智识谦逊；（4）嵌入智能 tutoring 系统（ITS）或大语言模型（LLMs）中的生成式SI能够支架人类学习；（5）生成式SI能够将苏格拉底方法递归地应用于系统自身的计算过程，作为一种内部认识自我调节。作者将SI置于柏拉图的反诘法与“有学问的无知”、亚里士多德的实践智慧、关于智识谦逊的德性认识论、德雷福斯对认知主义的批评，以及近期关于LLM的认识论讨论之中。作者主张，SI这一构念为人工智能哲学提供了规范性词汇，使古典哲学与当前机器学习实践得以对接。摘要未说明实证数据、样本或教育阶段，因此无法判断其是否直接聚焦学前教育或基础教育。</w:t>
      </w:r>
    </w:p>
    <w:p>
      <w:pPr>
        <w:pStyle w:val="Heading3"/>
      </w:pPr>
      <w:r>
        <w:t>研究主要内容</w:t>
      </w:r>
    </w:p>
    <w:p>
      <w:r>
        <w:t>论文的核心工作是提出并论证“苏格拉底智能”（SI）这一理论构念。作者首先提出五项前提：学习通过观察、互动和反思性检视发生；学习内容受元认知和强化影响；SI由认识好奇心、批判性自我意识、假设分析、对话能力、智识谦逊五个维度交织构成；生成式SI可嵌入ITS或LLMs并支架人类学习；生成式SI还可将苏格拉底方法递归应用于自身计算过程，形成内部认识自我调节。随后，作者将SI与柏拉图的反诘法和有学问的无知、亚里士多德的实践智慧、德性认识论中的智识谦逊、德雷福斯对认知主义的批评以及LLM认识论联系起来，说明该构念如何为AI哲学提供连接古典哲学与机器学习实践的规范性词汇。摘要未说明具体教育场景、教师样本、学生样本或实证数据。</w:t>
      </w:r>
    </w:p>
    <w:p>
      <w:pPr>
        <w:pStyle w:val="Heading3"/>
      </w:pPr>
      <w:r>
        <w:t>研究论点</w:t>
      </w:r>
    </w:p>
    <w:p>
      <w:r>
        <w:t>作者主张，人工智能若要成为“苏格拉底式”的，不应只被视为工具或技术系统，而应具备SI所包含的认识论德性与对话性能力；生成式SI嵌入ITS或LLMs后，可以支架人类学习，并可将苏格拉底方法递归用于自身计算过程，从而实现内部认识自我调节。由此，SI为AI哲学提供了一套规范性词汇，使古典哲学与当代机器学习实践相互衔接。</w:t>
      </w:r>
    </w:p>
    <w:p>
      <w:pPr>
        <w:pStyle w:val="Heading3"/>
      </w:pPr>
      <w:r>
        <w:t>研究问题</w:t>
      </w:r>
    </w:p>
    <w:p>
      <w:r>
        <w:t>核心理论问题是：人工智能能否成为苏格拉底式的？如何以“苏格拉底智能”（SI）概念连接古典哲学与当前机器学习实践？摘要未提出可检验的实证研究问题，也未说明具体研究假设。</w:t>
      </w:r>
    </w:p>
    <w:p>
      <w:pPr>
        <w:pStyle w:val="Heading3"/>
      </w:pPr>
      <w:r>
        <w:t>研究方法</w:t>
      </w:r>
    </w:p>
    <w:p>
      <w:r>
        <w:t>研究类型：哲学/概念性论文，非定量研究、非定性实证研究、非混合方法实证研究。样本或参与者：无；摘要未说明任何人类参与者、学生、教师或教育机构样本。数据来源：哲学传统与理论文献，包括柏拉图、亚里士多德、德性认识论、德雷福斯及近期LLM认识论讨论；摘要未说明系统文献综述、数据库检索或原始数据收集过程。分析方法：概念提出与理论论证，通过五项前提和五个维度构建SI框架，并进行哲学传统之间的理论对话与规范性论证；摘要未说明统计、编码、质性分析或实验分析等实证分析方法。</w:t>
      </w:r>
    </w:p>
    <w:p>
      <w:pPr>
        <w:pStyle w:val="Heading3"/>
      </w:pPr>
      <w:r>
        <w:t>主要发现</w:t>
      </w:r>
    </w:p>
    <w:p>
      <w:r>
        <w:t>1. 论文提出SI由五个相互关联维度构成：认识好奇心、批判性自我意识、假设分析、对话能力与智识谦逊。2. 论文认为，嵌入ITS或LLMs中的生成式SI可以支架人类学习，因而可能在学校或培训场景中充当苏格拉底式学习支持。3. 论文主张，生成式SI能够将苏格拉底方法递归应用于系统自身的计算过程，作为内部认识自我调节，并为AI哲学提供规范性词汇。</w:t>
      </w:r>
    </w:p>
    <w:p>
      <w:pPr>
        <w:pStyle w:val="Heading3"/>
      </w:pPr>
      <w:r>
        <w:t>对教师教育研究的启示</w:t>
      </w:r>
    </w:p>
    <w:p>
      <w:r>
        <w:t>该文不是教师教育或学前教育/基础教育的实证研究，摘要未提供教师培训干预、课堂数据或效果证据。对教师教育研究的启示主要是理论性和方向性的：第一，可将SI五维度操作化为教师数字素养、智能素养或数据素养中的反思性、对话性与批判性指标，用于研究AI支持下的教师反思和教学决策。第二，可探索将LLM或ITS设计为苏格拉底式导师或反思工具，研究其对教师提问、假设分析和智识谦逊的影响。第三，若要从概念走向实证，未来研究可采用混合方法、准实验、设计研究或案例研究；数据收集可包括人机对话记录、教师反思日志、课堂观察、前后测量表；分析可结合对话分析、主题分析、编码框架或多水平模型。摘要未说明上述具体研究设计，因此这些属于基于论文框架的研究启示而非论文自身发现。</w:t>
      </w:r>
    </w:p>
    <w:p>
      <w:pPr>
        <w:pStyle w:val="Heading3"/>
      </w:pPr>
      <w:r>
        <w:t>APA引用格式</w:t>
      </w:r>
    </w:p>
    <w:p>
      <w:r>
        <w:t>Dirzyte, A., &amp; Patapas, A. (2026). Can artificial intelligence be Socratic? Filosofija. Sociologija, 37(3), Article 12. https://doi.org/10.6001/fil-soc.2026.37.3.12</w:t>
      </w:r>
    </w:p>
    <w:p>
      <w:r>
        <w:br w:type="page"/>
      </w:r>
    </w:p>
    <w:p>
      <w:pPr>
        <w:pStyle w:val="Heading2"/>
      </w:pPr>
      <w:r>
        <w:t>5. A cognitive network framework for intelligent 5G systems with AI-based traffic analysis and adaptive optimization / 面向智能5G系统的认知网络框架：基于AI的流量分析与自适应优化</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 cognitive network framework for intelligent 5G systems with AI-based traffic analysis and adaptive optimization / 面向智能5G系统的认知网络框架：基于AI的流量分析与自适应优化</w:t>
            </w:r>
          </w:p>
        </w:tc>
      </w:tr>
      <w:tr>
        <w:tc>
          <w:tcPr>
            <w:tcW w:type="dxa" w:w="4997"/>
          </w:tcPr>
          <w:p>
            <w:r>
              <w:rPr>
                <w:b/>
              </w:rPr>
              <w:t>作者</w:t>
            </w:r>
          </w:p>
        </w:tc>
        <w:tc>
          <w:tcPr>
            <w:tcW w:type="dxa" w:w="4997"/>
          </w:tcPr>
          <w:p>
            <w:r>
              <w:t>Ghaida Muttashar Abdulsahib, Zaid Ali Hussein, Ahmed A. F. Osman, Ala Abdullah, Mohammed Awad Mohammed Ataelfadiel, Dac-Nhuong Le</w:t>
            </w:r>
          </w:p>
        </w:tc>
      </w:tr>
      <w:tr>
        <w:tc>
          <w:tcPr>
            <w:tcW w:type="dxa" w:w="4997"/>
          </w:tcPr>
          <w:p>
            <w:r>
              <w:rPr>
                <w:b/>
              </w:rPr>
              <w:t>期刊及影响因子</w:t>
            </w:r>
          </w:p>
        </w:tc>
        <w:tc>
          <w:tcPr>
            <w:tcW w:type="dxa" w:w="4997"/>
          </w:tcPr>
          <w:p>
            <w:r>
              <w:t>期刊：Discover Artificial Intelligence；SSCI分类：Multidisciplinary, Psychology；影响因子：白名单未提供；JCR分区：白名单未提供。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卷期：白名单未提供；DOI：10.1007/s44163-026-01943-4</w:t>
            </w:r>
          </w:p>
        </w:tc>
      </w:tr>
      <w:tr>
        <w:tc>
          <w:tcPr>
            <w:tcW w:type="dxa" w:w="4997"/>
          </w:tcPr>
          <w:p>
            <w:r>
              <w:rPr>
                <w:b/>
              </w:rPr>
              <w:t>在线发表时间</w:t>
            </w:r>
          </w:p>
        </w:tc>
        <w:tc>
          <w:tcPr>
            <w:tcW w:type="dxa" w:w="4997"/>
          </w:tcPr>
          <w:p>
            <w:r>
              <w:t>2026-09-23</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3">
              <w:r>
                <w:rPr>
                  <w:color w:val="0563C1"/>
                  <w:u w:val="single"/>
                </w:rPr>
                <w:t>https://doi.org/10.1007/s44163-026-01943-4</w:t>
              </w:r>
            </w:hyperlink>
          </w:p>
        </w:tc>
      </w:tr>
    </w:tbl>
    <w:p>
      <w:pPr>
        <w:pStyle w:val="Heading3"/>
      </w:pPr>
      <w:r>
        <w:t>研究摘要</w:t>
      </w:r>
    </w:p>
    <w:p>
      <w:r>
        <w:t>论文设计一个面向交互式移动学习平台的安全且可持续通信框架。用户数据通过轻量级密码方法保护，采用自适应风险认证模型改进访问控制，并使用基于深度学习的加密流量分类器进行实时异常检测。系统包含能源感知策略，如智能任务卸载与带宽自适应内容传输，以应对移动设备能源限制并降低时延、提高响应性。系统在移动边缘计算环境中运行；模拟5G网络结果显示，认证准确率96.4%，加密流量检测F1值96.1%，移动能耗最多降低27%。作者认为该框架较现有方案更全面高效，兼顾安全、用户适应性与可持续性，适合下一代智能教育生态系统中的移动学习应用。</w:t>
      </w:r>
    </w:p>
    <w:p>
      <w:pPr>
        <w:pStyle w:val="Heading3"/>
      </w:pPr>
      <w:r>
        <w:t>研究主要内容</w:t>
      </w:r>
    </w:p>
    <w:p>
      <w:r>
        <w:t>论文提出面向交互式移动学习平台的安全可持续通信框架，融合轻量级密码、自适应风险认证、深度学习加密流量分类、智能任务卸载和带宽自适应内容传输，并在模拟5G与移动边缘计算环境中验证性能。</w:t>
      </w:r>
    </w:p>
    <w:p>
      <w:pPr>
        <w:pStyle w:val="Heading3"/>
      </w:pPr>
      <w:r>
        <w:t>研究论点</w:t>
      </w:r>
    </w:p>
    <w:p>
      <w:r>
        <w:t>核心论点是：在移动边缘计算支持的5G环境中，通过AI流量分析、自适应优化和能源感知策略，可同时提升移动学习平台的认证安全、异常检测能力与移动设备能效，从而更好支持下一代智能教育生态中的移动学习应用。</w:t>
      </w:r>
    </w:p>
    <w:p>
      <w:pPr>
        <w:pStyle w:val="Heading3"/>
      </w:pPr>
      <w:r>
        <w:t>研究问题</w:t>
      </w:r>
    </w:p>
    <w:p>
      <w:r>
        <w:t>摘要未明确列出研究问题。可推断其关注：如何为交互式移动学习平台设计兼顾安全性、自适应性与能源可持续性的5G与移动边缘计算通信框架。</w:t>
      </w:r>
    </w:p>
    <w:p>
      <w:pPr>
        <w:pStyle w:val="Heading3"/>
      </w:pPr>
      <w:r>
        <w:t>研究方法</w:t>
      </w:r>
    </w:p>
    <w:p>
      <w:r>
        <w:t>研究类型：技术框架设计与仿真评估，非教育情境下的定量、定性或混合实证研究。样本或参与者：摘要未说明人类参与者，亦未说明教育阶段、教师或学生样本。数据来源：模拟5G网络环境中的性能测试数据；未说明课堂、教师或学生数据。分析方法：设计并评估安全可持续通信框架，采用轻量级密码方法、自适应风险认证、基于深度学习的加密流量分类器、智能任务卸载、带宽自适应内容传输；在移动边缘计算环境中进行仿真，报告认证准确率、加密流量检测F1值、移动能耗降幅等指标。</w:t>
      </w:r>
    </w:p>
    <w:p>
      <w:pPr>
        <w:pStyle w:val="Heading3"/>
      </w:pPr>
      <w:r>
        <w:t>主要发现</w:t>
      </w:r>
    </w:p>
    <w:p>
      <w:r>
        <w:t>1. 在模拟5G网络中，认证准确率达到96.4%，表明自适应风险认证可提升访问控制安全性。2. 基于深度学习的加密流量检测F1值为96.1%，说明其对实时异常检测具有较高性能。3. 移动设备能耗最多降低27%，并通过智能任务卸载和带宽自适应内容传输改善时延与响应性；作者称该框架较现有方案更综合高效，适合智能教育生态中的移动学习应用。</w:t>
      </w:r>
    </w:p>
    <w:p>
      <w:pPr>
        <w:pStyle w:val="Heading3"/>
      </w:pPr>
      <w:r>
        <w:t>对教师教育研究的启示</w:t>
      </w:r>
    </w:p>
    <w:p>
      <w:r>
        <w:t>1. 该文不属于学前教育、基础教育或教师教育实证研究，未涉及教师数字素养、智能素养、数据素养、教师培训中的AI整合或教师角色，因此对教师教育研究的直接启示有限。2. 可作为教育数字化基础设施与移动学习平台技术支撑的背景文献，提示AI教学应用研究需关注平台安全、能耗、时延与边缘计算等底层条件。3. 方法上，该文采用技术仿真而非课堂或教师样本实证，提醒教师教育研究若要讨论AI整合成效，应明确教师或学生样本、数据收集方式和教学结果变量，不能将技术性能指标直接等同于教学或教师专业发展效果。</w:t>
      </w:r>
    </w:p>
    <w:p>
      <w:pPr>
        <w:pStyle w:val="Heading3"/>
      </w:pPr>
      <w:r>
        <w:t>APA引用格式</w:t>
      </w:r>
    </w:p>
    <w:p>
      <w:r>
        <w:t>Abdulsahib, G. M., Hussein, Z. A., Osman, A. A. F., Abdullah, A., Ataelfadiel, M. A. M., &amp; Le, D.-N. (2026). A cognitive network framework for intelligent 5G systems with AI-based traffic analysis and adaptive optimization. Discover Artificial Intelligence. https://doi.org/10.1007/s44163-026-01943-4</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85.70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03/62m6-lkh7" TargetMode="External"/><Relationship Id="rId10" Type="http://schemas.openxmlformats.org/officeDocument/2006/relationships/hyperlink" Target="https://doi.org/10.59373/drs.v4i2.62" TargetMode="External"/><Relationship Id="rId11" Type="http://schemas.openxmlformats.org/officeDocument/2006/relationships/hyperlink" Target="https://doi.org/10.20897/ejelr/19338" TargetMode="External"/><Relationship Id="rId12" Type="http://schemas.openxmlformats.org/officeDocument/2006/relationships/hyperlink" Target="https://doi.org/10.6001/fil-soc.2026.37.3.12" TargetMode="External"/><Relationship Id="rId13" Type="http://schemas.openxmlformats.org/officeDocument/2006/relationships/hyperlink" Target="https://doi.org/10.1007/s44163-026-0194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